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81C" w:rsidRDefault="0078281C" w:rsidP="0061268B">
      <w:pPr>
        <w:pStyle w:val="BNDES"/>
        <w:rPr>
          <w:rFonts w:ascii="Arial" w:hAnsi="Arial" w:cs="Arial"/>
        </w:rPr>
      </w:pPr>
      <w:bookmarkStart w:id="0" w:name="_GoBack"/>
      <w:bookmarkEnd w:id="0"/>
    </w:p>
    <w:tbl>
      <w:tblPr>
        <w:tblStyle w:val="Tabelacomgrade"/>
        <w:tblW w:w="9781" w:type="dxa"/>
        <w:tblInd w:w="-34" w:type="dxa"/>
        <w:tblLayout w:type="fixed"/>
        <w:tblLook w:val="04A0" w:firstRow="1" w:lastRow="0" w:firstColumn="1" w:lastColumn="0" w:noHBand="0" w:noVBand="1"/>
      </w:tblPr>
      <w:tblGrid>
        <w:gridCol w:w="1843"/>
        <w:gridCol w:w="7938"/>
      </w:tblGrid>
      <w:tr w:rsidR="00B41D6A" w:rsidTr="004421C2">
        <w:tc>
          <w:tcPr>
            <w:tcW w:w="9781" w:type="dxa"/>
            <w:gridSpan w:val="2"/>
            <w:shd w:val="clear" w:color="auto" w:fill="BFBFBF" w:themeFill="background1" w:themeFillShade="BF"/>
          </w:tcPr>
          <w:p w:rsidR="00B41D6A" w:rsidRPr="00B13318" w:rsidRDefault="00B41D6A" w:rsidP="00146646">
            <w:pPr>
              <w:jc w:val="center"/>
              <w:rPr>
                <w:rFonts w:ascii="Times New Roman" w:hAnsi="Times New Roman" w:cs="Times New Roman"/>
              </w:rPr>
            </w:pPr>
            <w:r w:rsidRPr="004003A1">
              <w:rPr>
                <w:rFonts w:cstheme="minorHAnsi"/>
                <w:b/>
                <w:sz w:val="21"/>
                <w:szCs w:val="21"/>
              </w:rPr>
              <w:t xml:space="preserve">Pôsteres - Sessão </w:t>
            </w:r>
            <w:proofErr w:type="gramStart"/>
            <w:r w:rsidRPr="004003A1">
              <w:rPr>
                <w:rFonts w:cstheme="minorHAnsi"/>
                <w:b/>
                <w:sz w:val="21"/>
                <w:szCs w:val="21"/>
              </w:rPr>
              <w:t>3</w:t>
            </w:r>
            <w:proofErr w:type="gramEnd"/>
            <w:r w:rsidRPr="004003A1">
              <w:rPr>
                <w:rFonts w:cstheme="minorHAnsi"/>
                <w:b/>
                <w:sz w:val="21"/>
                <w:szCs w:val="21"/>
              </w:rPr>
              <w:t>: Relação Público-Privada em Saúde e Saúde Suplementar</w:t>
            </w:r>
          </w:p>
        </w:tc>
      </w:tr>
      <w:tr w:rsidR="00B41D6A" w:rsidTr="004421C2">
        <w:tc>
          <w:tcPr>
            <w:tcW w:w="9781" w:type="dxa"/>
            <w:gridSpan w:val="2"/>
            <w:shd w:val="clear" w:color="auto" w:fill="BFBFBF" w:themeFill="background1" w:themeFillShade="BF"/>
          </w:tcPr>
          <w:p w:rsidR="00B41D6A" w:rsidRDefault="00B41D6A" w:rsidP="00146646">
            <w:pPr>
              <w:jc w:val="center"/>
              <w:rPr>
                <w:rFonts w:ascii="Times New Roman" w:hAnsi="Times New Roman" w:cs="Times New Roman"/>
              </w:rPr>
            </w:pPr>
            <w:r w:rsidRPr="00B13318">
              <w:rPr>
                <w:rFonts w:ascii="Times New Roman" w:hAnsi="Times New Roman" w:cs="Times New Roman"/>
              </w:rPr>
              <w:t>Autor</w:t>
            </w:r>
            <w:r>
              <w:rPr>
                <w:rFonts w:ascii="Times New Roman" w:hAnsi="Times New Roman" w:cs="Times New Roman"/>
              </w:rPr>
              <w:t>(</w:t>
            </w:r>
            <w:r w:rsidRPr="00B13318">
              <w:rPr>
                <w:rFonts w:ascii="Times New Roman" w:hAnsi="Times New Roman" w:cs="Times New Roman"/>
              </w:rPr>
              <w:t>es</w:t>
            </w:r>
            <w:r>
              <w:rPr>
                <w:rFonts w:ascii="Times New Roman" w:hAnsi="Times New Roman" w:cs="Times New Roman"/>
              </w:rPr>
              <w:t>) e instituição(</w:t>
            </w:r>
            <w:proofErr w:type="spellStart"/>
            <w:r>
              <w:rPr>
                <w:rFonts w:ascii="Times New Roman" w:hAnsi="Times New Roman" w:cs="Times New Roman"/>
              </w:rPr>
              <w:t>ões</w:t>
            </w:r>
            <w:proofErr w:type="spellEnd"/>
            <w:r>
              <w:rPr>
                <w:rFonts w:ascii="Times New Roman" w:hAnsi="Times New Roman" w:cs="Times New Roman"/>
              </w:rPr>
              <w:t>):</w:t>
            </w:r>
          </w:p>
          <w:p w:rsidR="00B41D6A" w:rsidRDefault="00B41D6A" w:rsidP="00146646">
            <w:pPr>
              <w:jc w:val="center"/>
              <w:rPr>
                <w:rFonts w:ascii="Times New Roman" w:hAnsi="Times New Roman" w:cs="Times New Roman"/>
              </w:rPr>
            </w:pPr>
          </w:p>
          <w:p w:rsidR="00B41D6A" w:rsidRPr="00F806A9" w:rsidRDefault="00B41D6A" w:rsidP="00146646">
            <w:pPr>
              <w:jc w:val="center"/>
              <w:rPr>
                <w:rFonts w:ascii="Times New Roman" w:hAnsi="Times New Roman" w:cs="Times New Roman"/>
              </w:rPr>
            </w:pPr>
            <w:r w:rsidRPr="00F806A9">
              <w:rPr>
                <w:rFonts w:ascii="Times New Roman" w:hAnsi="Times New Roman" w:cs="Times New Roman"/>
                <w:szCs w:val="21"/>
                <w:u w:val="single"/>
              </w:rPr>
              <w:t>Antônio Horácio Fernandes da Silva</w:t>
            </w:r>
            <w:r w:rsidRPr="00F806A9">
              <w:rPr>
                <w:rFonts w:ascii="Times New Roman" w:hAnsi="Times New Roman" w:cs="Times New Roman"/>
                <w:szCs w:val="21"/>
              </w:rPr>
              <w:t xml:space="preserve"> (ICIPE – Hospital da Criança de Brasília José Alencar).</w:t>
            </w:r>
          </w:p>
        </w:tc>
      </w:tr>
      <w:tr w:rsidR="00B41D6A" w:rsidTr="004421C2">
        <w:tc>
          <w:tcPr>
            <w:tcW w:w="1843" w:type="dxa"/>
          </w:tcPr>
          <w:p w:rsidR="00B41D6A" w:rsidRPr="004421C2" w:rsidRDefault="00B41D6A" w:rsidP="00F806A9">
            <w:pPr>
              <w:jc w:val="center"/>
              <w:rPr>
                <w:rFonts w:ascii="Times New Roman" w:hAnsi="Times New Roman" w:cs="Times New Roman"/>
                <w:b/>
              </w:rPr>
            </w:pPr>
            <w:r w:rsidRPr="004421C2">
              <w:rPr>
                <w:rFonts w:ascii="Times New Roman" w:hAnsi="Times New Roman" w:cs="Times New Roman"/>
                <w:b/>
              </w:rPr>
              <w:t>Título</w:t>
            </w:r>
          </w:p>
        </w:tc>
        <w:tc>
          <w:tcPr>
            <w:tcW w:w="7938" w:type="dxa"/>
          </w:tcPr>
          <w:p w:rsidR="00B41D6A" w:rsidRDefault="00B41D6A" w:rsidP="00394629">
            <w:pPr>
              <w:jc w:val="both"/>
              <w:rPr>
                <w:rFonts w:ascii="Times New Roman" w:hAnsi="Times New Roman" w:cs="Times New Roman"/>
              </w:rPr>
            </w:pPr>
            <w:r w:rsidRPr="00394629">
              <w:rPr>
                <w:rFonts w:ascii="Times New Roman" w:hAnsi="Times New Roman" w:cs="Times New Roman"/>
              </w:rPr>
              <w:t>A apuração da inflação interna de um hospital público administrado por uma organização social de saúde</w:t>
            </w:r>
            <w:r>
              <w:rPr>
                <w:rFonts w:ascii="Times New Roman" w:hAnsi="Times New Roman" w:cs="Times New Roman"/>
              </w:rPr>
              <w:t>.</w:t>
            </w:r>
          </w:p>
          <w:p w:rsidR="00B41D6A" w:rsidRDefault="00B41D6A" w:rsidP="00394629">
            <w:pPr>
              <w:jc w:val="both"/>
              <w:rPr>
                <w:rFonts w:ascii="Times New Roman" w:hAnsi="Times New Roman" w:cs="Times New Roman"/>
              </w:rPr>
            </w:pPr>
          </w:p>
        </w:tc>
      </w:tr>
      <w:tr w:rsidR="00B41D6A" w:rsidTr="004421C2">
        <w:tc>
          <w:tcPr>
            <w:tcW w:w="1843" w:type="dxa"/>
          </w:tcPr>
          <w:p w:rsidR="00B41D6A" w:rsidRPr="004421C2" w:rsidRDefault="00B41D6A" w:rsidP="00777F77">
            <w:pPr>
              <w:jc w:val="center"/>
              <w:rPr>
                <w:rFonts w:ascii="Times New Roman" w:hAnsi="Times New Roman" w:cs="Times New Roman"/>
                <w:b/>
              </w:rPr>
            </w:pPr>
            <w:r w:rsidRPr="004421C2">
              <w:rPr>
                <w:rFonts w:ascii="Times New Roman" w:hAnsi="Times New Roman" w:cs="Times New Roman"/>
                <w:b/>
              </w:rPr>
              <w:t>Palavras-chave</w:t>
            </w:r>
          </w:p>
        </w:tc>
        <w:tc>
          <w:tcPr>
            <w:tcW w:w="7938" w:type="dxa"/>
          </w:tcPr>
          <w:p w:rsidR="00B41D6A" w:rsidRDefault="00B41D6A" w:rsidP="00394629">
            <w:pPr>
              <w:jc w:val="both"/>
              <w:rPr>
                <w:rFonts w:ascii="Times New Roman" w:hAnsi="Times New Roman" w:cs="Times New Roman"/>
              </w:rPr>
            </w:pPr>
            <w:r>
              <w:rPr>
                <w:rFonts w:ascii="Times New Roman" w:hAnsi="Times New Roman" w:cs="Times New Roman"/>
              </w:rPr>
              <w:t>Inflação, preços, custos, despesas.</w:t>
            </w:r>
          </w:p>
          <w:p w:rsidR="00B41D6A" w:rsidRDefault="00B41D6A" w:rsidP="00394629">
            <w:pPr>
              <w:jc w:val="both"/>
              <w:rPr>
                <w:rFonts w:ascii="Times New Roman" w:hAnsi="Times New Roman" w:cs="Times New Roman"/>
              </w:rPr>
            </w:pPr>
          </w:p>
        </w:tc>
      </w:tr>
      <w:tr w:rsidR="00B41D6A" w:rsidTr="004421C2">
        <w:tc>
          <w:tcPr>
            <w:tcW w:w="1843" w:type="dxa"/>
          </w:tcPr>
          <w:p w:rsidR="00B41D6A" w:rsidRDefault="00B41D6A" w:rsidP="00780860">
            <w:pPr>
              <w:jc w:val="both"/>
              <w:rPr>
                <w:rFonts w:ascii="Times New Roman" w:hAnsi="Times New Roman" w:cs="Times New Roman"/>
                <w:b/>
              </w:rPr>
            </w:pPr>
          </w:p>
          <w:p w:rsidR="00B41D6A" w:rsidRDefault="00B41D6A" w:rsidP="00780860">
            <w:pPr>
              <w:jc w:val="both"/>
              <w:rPr>
                <w:rFonts w:ascii="Times New Roman" w:hAnsi="Times New Roman" w:cs="Times New Roman"/>
                <w:b/>
              </w:rPr>
            </w:pPr>
          </w:p>
          <w:p w:rsidR="00B41D6A" w:rsidRDefault="00B41D6A" w:rsidP="00780860">
            <w:pPr>
              <w:jc w:val="both"/>
              <w:rPr>
                <w:rFonts w:ascii="Times New Roman" w:hAnsi="Times New Roman" w:cs="Times New Roman"/>
                <w:b/>
              </w:rPr>
            </w:pPr>
          </w:p>
          <w:p w:rsidR="00B41D6A" w:rsidRDefault="00B41D6A" w:rsidP="00780860">
            <w:pPr>
              <w:jc w:val="both"/>
              <w:rPr>
                <w:rFonts w:ascii="Times New Roman" w:hAnsi="Times New Roman" w:cs="Times New Roman"/>
                <w:b/>
              </w:rPr>
            </w:pPr>
          </w:p>
          <w:p w:rsidR="00B41D6A" w:rsidRDefault="00B41D6A" w:rsidP="00780860">
            <w:pPr>
              <w:jc w:val="both"/>
              <w:rPr>
                <w:rFonts w:ascii="Times New Roman" w:hAnsi="Times New Roman" w:cs="Times New Roman"/>
                <w:b/>
              </w:rPr>
            </w:pPr>
          </w:p>
          <w:p w:rsidR="00B41D6A" w:rsidRDefault="00B41D6A" w:rsidP="00780860">
            <w:pPr>
              <w:jc w:val="both"/>
              <w:rPr>
                <w:rFonts w:ascii="Times New Roman" w:hAnsi="Times New Roman" w:cs="Times New Roman"/>
                <w:b/>
              </w:rPr>
            </w:pPr>
          </w:p>
          <w:p w:rsidR="00B41D6A" w:rsidRDefault="00B41D6A" w:rsidP="00780860">
            <w:pPr>
              <w:jc w:val="both"/>
              <w:rPr>
                <w:rFonts w:ascii="Times New Roman" w:hAnsi="Times New Roman" w:cs="Times New Roman"/>
                <w:b/>
              </w:rPr>
            </w:pPr>
          </w:p>
          <w:p w:rsidR="00B41D6A" w:rsidRDefault="00B41D6A" w:rsidP="00780860">
            <w:pPr>
              <w:jc w:val="both"/>
              <w:rPr>
                <w:rFonts w:ascii="Times New Roman" w:hAnsi="Times New Roman" w:cs="Times New Roman"/>
                <w:b/>
              </w:rPr>
            </w:pPr>
          </w:p>
          <w:p w:rsidR="00B41D6A" w:rsidRDefault="00B41D6A" w:rsidP="00780860">
            <w:pPr>
              <w:jc w:val="both"/>
              <w:rPr>
                <w:rFonts w:ascii="Times New Roman" w:hAnsi="Times New Roman" w:cs="Times New Roman"/>
                <w:b/>
              </w:rPr>
            </w:pPr>
          </w:p>
          <w:p w:rsidR="00B41D6A" w:rsidRDefault="00B41D6A" w:rsidP="00780860">
            <w:pPr>
              <w:jc w:val="both"/>
              <w:rPr>
                <w:rFonts w:ascii="Times New Roman" w:hAnsi="Times New Roman" w:cs="Times New Roman"/>
                <w:b/>
              </w:rPr>
            </w:pPr>
          </w:p>
          <w:p w:rsidR="00B41D6A" w:rsidRDefault="00B41D6A" w:rsidP="00780860">
            <w:pPr>
              <w:jc w:val="both"/>
              <w:rPr>
                <w:rFonts w:ascii="Times New Roman" w:hAnsi="Times New Roman" w:cs="Times New Roman"/>
                <w:b/>
              </w:rPr>
            </w:pPr>
          </w:p>
          <w:p w:rsidR="00B41D6A" w:rsidRDefault="00B41D6A" w:rsidP="00780860">
            <w:pPr>
              <w:jc w:val="both"/>
              <w:rPr>
                <w:rFonts w:ascii="Times New Roman" w:hAnsi="Times New Roman" w:cs="Times New Roman"/>
                <w:b/>
              </w:rPr>
            </w:pPr>
          </w:p>
          <w:p w:rsidR="00B41D6A" w:rsidRDefault="00B41D6A" w:rsidP="00780860">
            <w:pPr>
              <w:jc w:val="both"/>
              <w:rPr>
                <w:rFonts w:ascii="Times New Roman" w:hAnsi="Times New Roman" w:cs="Times New Roman"/>
                <w:b/>
              </w:rPr>
            </w:pPr>
          </w:p>
          <w:p w:rsidR="00B41D6A" w:rsidRDefault="00B41D6A" w:rsidP="00780860">
            <w:pPr>
              <w:jc w:val="both"/>
              <w:rPr>
                <w:rFonts w:ascii="Times New Roman" w:hAnsi="Times New Roman" w:cs="Times New Roman"/>
                <w:b/>
              </w:rPr>
            </w:pPr>
          </w:p>
          <w:p w:rsidR="00B41D6A" w:rsidRDefault="00B41D6A" w:rsidP="00780860">
            <w:pPr>
              <w:jc w:val="both"/>
              <w:rPr>
                <w:rFonts w:ascii="Times New Roman" w:hAnsi="Times New Roman" w:cs="Times New Roman"/>
                <w:b/>
              </w:rPr>
            </w:pPr>
          </w:p>
          <w:p w:rsidR="00B41D6A" w:rsidRDefault="00B41D6A" w:rsidP="00780860">
            <w:pPr>
              <w:jc w:val="both"/>
              <w:rPr>
                <w:rFonts w:ascii="Times New Roman" w:hAnsi="Times New Roman" w:cs="Times New Roman"/>
                <w:b/>
              </w:rPr>
            </w:pPr>
          </w:p>
          <w:p w:rsidR="00B41D6A" w:rsidRPr="004421C2" w:rsidRDefault="00B41D6A" w:rsidP="00777F77">
            <w:pPr>
              <w:jc w:val="center"/>
              <w:rPr>
                <w:rFonts w:ascii="Times New Roman" w:hAnsi="Times New Roman" w:cs="Times New Roman"/>
                <w:b/>
              </w:rPr>
            </w:pPr>
            <w:r w:rsidRPr="004421C2">
              <w:rPr>
                <w:rFonts w:ascii="Times New Roman" w:hAnsi="Times New Roman" w:cs="Times New Roman"/>
                <w:b/>
              </w:rPr>
              <w:t>Resumo</w:t>
            </w:r>
          </w:p>
        </w:tc>
        <w:tc>
          <w:tcPr>
            <w:tcW w:w="7938" w:type="dxa"/>
          </w:tcPr>
          <w:p w:rsidR="00B41D6A" w:rsidRDefault="00B41D6A" w:rsidP="00394629">
            <w:pPr>
              <w:jc w:val="both"/>
              <w:rPr>
                <w:rFonts w:ascii="Times New Roman" w:hAnsi="Times New Roman" w:cs="Times New Roman"/>
              </w:rPr>
            </w:pPr>
            <w:r w:rsidRPr="00394629">
              <w:rPr>
                <w:rFonts w:ascii="Times New Roman" w:hAnsi="Times New Roman" w:cs="Times New Roman"/>
              </w:rPr>
              <w:t>Recentemente o Brasil presenciou um período de retomada da inflação, onde profusos economistas apontaram o aumento dos preços como uma das maiores preocupações para os próximos anos. Neste contexto, torna-se imprescindível que os executivos de</w:t>
            </w:r>
            <w:r>
              <w:rPr>
                <w:rFonts w:ascii="Times New Roman" w:hAnsi="Times New Roman" w:cs="Times New Roman"/>
              </w:rPr>
              <w:t xml:space="preserve"> </w:t>
            </w:r>
            <w:r w:rsidRPr="00394629">
              <w:rPr>
                <w:rFonts w:ascii="Times New Roman" w:hAnsi="Times New Roman" w:cs="Times New Roman"/>
              </w:rPr>
              <w:t>instituições públicas e privadas de saúde disponham informações precisas e atualizadas</w:t>
            </w:r>
            <w:r>
              <w:rPr>
                <w:rFonts w:ascii="Times New Roman" w:hAnsi="Times New Roman" w:cs="Times New Roman"/>
              </w:rPr>
              <w:t xml:space="preserve"> </w:t>
            </w:r>
            <w:r w:rsidRPr="00394629">
              <w:rPr>
                <w:rFonts w:ascii="Times New Roman" w:hAnsi="Times New Roman" w:cs="Times New Roman"/>
              </w:rPr>
              <w:t>sobre o comportamento dos preços praticados em suas organizações.</w:t>
            </w:r>
          </w:p>
          <w:p w:rsidR="00B41D6A" w:rsidRDefault="00B41D6A" w:rsidP="00394629">
            <w:pPr>
              <w:jc w:val="both"/>
              <w:rPr>
                <w:rFonts w:ascii="Times New Roman" w:hAnsi="Times New Roman" w:cs="Times New Roman"/>
              </w:rPr>
            </w:pPr>
          </w:p>
          <w:p w:rsidR="00B41D6A" w:rsidRDefault="00B41D6A" w:rsidP="00394629">
            <w:pPr>
              <w:jc w:val="both"/>
              <w:rPr>
                <w:rFonts w:ascii="Times New Roman" w:hAnsi="Times New Roman" w:cs="Times New Roman"/>
              </w:rPr>
            </w:pPr>
            <w:r w:rsidRPr="00394629">
              <w:rPr>
                <w:rFonts w:ascii="Times New Roman" w:hAnsi="Times New Roman" w:cs="Times New Roman"/>
              </w:rPr>
              <w:t xml:space="preserve">Este trabalho visa apresentar o processo de apuração da inflação interna por meio do método </w:t>
            </w:r>
            <w:proofErr w:type="spellStart"/>
            <w:r w:rsidRPr="00394629">
              <w:rPr>
                <w:rFonts w:ascii="Times New Roman" w:hAnsi="Times New Roman" w:cs="Times New Roman"/>
              </w:rPr>
              <w:t>Inflatec</w:t>
            </w:r>
            <w:proofErr w:type="spellEnd"/>
            <w:r w:rsidRPr="00394629">
              <w:rPr>
                <w:rFonts w:ascii="Times New Roman" w:hAnsi="Times New Roman" w:cs="Times New Roman"/>
              </w:rPr>
              <w:t xml:space="preserve">, utilizado no Hospital da Criança de Brasília José Alencar (HCB), hospital público administrado por uma Organização </w:t>
            </w:r>
            <w:r>
              <w:rPr>
                <w:rFonts w:ascii="Times New Roman" w:hAnsi="Times New Roman" w:cs="Times New Roman"/>
              </w:rPr>
              <w:t>S</w:t>
            </w:r>
            <w:r w:rsidRPr="00394629">
              <w:rPr>
                <w:rFonts w:ascii="Times New Roman" w:hAnsi="Times New Roman" w:cs="Times New Roman"/>
              </w:rPr>
              <w:t>ocial de Saúde.</w:t>
            </w:r>
          </w:p>
          <w:p w:rsidR="00B41D6A" w:rsidRPr="00394629" w:rsidRDefault="00B41D6A" w:rsidP="00394629">
            <w:pPr>
              <w:jc w:val="both"/>
              <w:rPr>
                <w:rFonts w:ascii="Times New Roman" w:hAnsi="Times New Roman" w:cs="Times New Roman"/>
              </w:rPr>
            </w:pPr>
          </w:p>
          <w:p w:rsidR="00B41D6A" w:rsidRDefault="00B41D6A" w:rsidP="00394629">
            <w:pPr>
              <w:jc w:val="both"/>
              <w:rPr>
                <w:rFonts w:ascii="Times New Roman" w:hAnsi="Times New Roman" w:cs="Times New Roman"/>
              </w:rPr>
            </w:pPr>
            <w:r w:rsidRPr="00394629">
              <w:rPr>
                <w:rFonts w:ascii="Times New Roman" w:hAnsi="Times New Roman" w:cs="Times New Roman"/>
              </w:rPr>
              <w:t>O estudo de caso, estratégia de pesquisa que busca examinar um fenômeno contemporâneo dentro do seu contexto, buscou destacar a composição da cesta básica de</w:t>
            </w:r>
            <w:r>
              <w:rPr>
                <w:rFonts w:ascii="Times New Roman" w:hAnsi="Times New Roman" w:cs="Times New Roman"/>
              </w:rPr>
              <w:t xml:space="preserve"> consumo do HCB</w:t>
            </w:r>
            <w:r w:rsidRPr="00394629">
              <w:rPr>
                <w:rFonts w:ascii="Times New Roman" w:hAnsi="Times New Roman" w:cs="Times New Roman"/>
              </w:rPr>
              <w:t>, distribuição dos pesos para os itens de custos e despesas, procedimento para a coleta de informações, controle dos preços e, finalmente, a determinação dos índices de inflação para cada um dos itens que compõem a cesta básica de consumo.</w:t>
            </w:r>
          </w:p>
          <w:p w:rsidR="00B41D6A" w:rsidRPr="00394629" w:rsidRDefault="00B41D6A" w:rsidP="00394629">
            <w:pPr>
              <w:jc w:val="both"/>
              <w:rPr>
                <w:rFonts w:ascii="Times New Roman" w:hAnsi="Times New Roman" w:cs="Times New Roman"/>
              </w:rPr>
            </w:pPr>
          </w:p>
          <w:p w:rsidR="00B41D6A" w:rsidRDefault="00B41D6A" w:rsidP="00394629">
            <w:pPr>
              <w:jc w:val="both"/>
              <w:rPr>
                <w:rFonts w:ascii="Times New Roman" w:hAnsi="Times New Roman" w:cs="Times New Roman"/>
              </w:rPr>
            </w:pPr>
            <w:r w:rsidRPr="00394629">
              <w:rPr>
                <w:rFonts w:ascii="Times New Roman" w:hAnsi="Times New Roman" w:cs="Times New Roman"/>
              </w:rPr>
              <w:t xml:space="preserve">As informações do trabalho apontaram que os custos com medicamentos, material médico-hospitalar e material de laboratório representaram 82,18% do custo total no período do estudo, enquanto as despesas com salários/encargos e serviços de terceiros corresponderam a 86,41% da despesa total. Em sendo assim, estas cinco rubricas formaram a cesta básica para cálculo da inflação interna do HCB. </w:t>
            </w:r>
          </w:p>
          <w:p w:rsidR="00B41D6A" w:rsidRPr="00394629" w:rsidRDefault="00B41D6A" w:rsidP="00394629">
            <w:pPr>
              <w:jc w:val="both"/>
              <w:rPr>
                <w:rFonts w:ascii="Times New Roman" w:hAnsi="Times New Roman" w:cs="Times New Roman"/>
              </w:rPr>
            </w:pPr>
          </w:p>
          <w:p w:rsidR="00B41D6A" w:rsidRDefault="00B41D6A" w:rsidP="00394629">
            <w:pPr>
              <w:jc w:val="both"/>
              <w:rPr>
                <w:rFonts w:ascii="Times New Roman" w:hAnsi="Times New Roman" w:cs="Times New Roman"/>
              </w:rPr>
            </w:pPr>
            <w:r w:rsidRPr="00394629">
              <w:rPr>
                <w:rFonts w:ascii="Times New Roman" w:hAnsi="Times New Roman" w:cs="Times New Roman"/>
              </w:rPr>
              <w:t xml:space="preserve">A despeito de que a apuração do índice de inflação interna seja um processo complexo, entende-se que o cálculo pelo modelo </w:t>
            </w:r>
            <w:proofErr w:type="spellStart"/>
            <w:r w:rsidRPr="00394629">
              <w:rPr>
                <w:rFonts w:ascii="Times New Roman" w:hAnsi="Times New Roman" w:cs="Times New Roman"/>
              </w:rPr>
              <w:t>Inflatec</w:t>
            </w:r>
            <w:proofErr w:type="spellEnd"/>
            <w:r w:rsidRPr="00394629">
              <w:rPr>
                <w:rFonts w:ascii="Times New Roman" w:hAnsi="Times New Roman" w:cs="Times New Roman"/>
              </w:rPr>
              <w:t xml:space="preserve"> utilizado pelo Hospital da Criança de Brasília é plenamente aplicável e acessível, de forma a considerar que as outras instituições de saúde, até mesmo de pequeno porte, possam apurar o seu Índice de Preço Próprio (IPP), colaborando para a construção de um relevante instrumento para o controle de custos e suporte ao processo decisório.</w:t>
            </w:r>
          </w:p>
        </w:tc>
      </w:tr>
      <w:tr w:rsidR="00B41D6A" w:rsidTr="004421C2">
        <w:tc>
          <w:tcPr>
            <w:tcW w:w="1843" w:type="dxa"/>
          </w:tcPr>
          <w:p w:rsidR="00B41D6A" w:rsidRPr="00C419A7" w:rsidRDefault="00B41D6A" w:rsidP="00F806A9">
            <w:pPr>
              <w:jc w:val="center"/>
              <w:rPr>
                <w:rFonts w:ascii="Times New Roman" w:hAnsi="Times New Roman" w:cs="Times New Roman"/>
                <w:b/>
              </w:rPr>
            </w:pPr>
            <w:r w:rsidRPr="00C419A7">
              <w:rPr>
                <w:rFonts w:ascii="Times New Roman" w:hAnsi="Times New Roman" w:cs="Times New Roman"/>
                <w:b/>
              </w:rPr>
              <w:t>Instituição financiadora da pesquisa e declaração de conflito de interesse</w:t>
            </w:r>
          </w:p>
        </w:tc>
        <w:tc>
          <w:tcPr>
            <w:tcW w:w="7938" w:type="dxa"/>
          </w:tcPr>
          <w:p w:rsidR="00B41D6A" w:rsidRDefault="00B41D6A" w:rsidP="00C419A7">
            <w:pPr>
              <w:ind w:left="-108"/>
              <w:jc w:val="center"/>
              <w:rPr>
                <w:rFonts w:ascii="Times New Roman" w:hAnsi="Times New Roman" w:cs="Times New Roman"/>
              </w:rPr>
            </w:pPr>
          </w:p>
          <w:p w:rsidR="00B41D6A" w:rsidRPr="00C419A7" w:rsidRDefault="00B41D6A" w:rsidP="00C419A7">
            <w:pPr>
              <w:rPr>
                <w:rFonts w:ascii="Times New Roman" w:hAnsi="Times New Roman" w:cs="Times New Roman"/>
              </w:rPr>
            </w:pPr>
          </w:p>
          <w:p w:rsidR="00B41D6A" w:rsidRDefault="00B41D6A" w:rsidP="00C419A7">
            <w:pPr>
              <w:rPr>
                <w:rFonts w:ascii="Times New Roman" w:hAnsi="Times New Roman" w:cs="Times New Roman"/>
              </w:rPr>
            </w:pPr>
          </w:p>
          <w:p w:rsidR="00B41D6A" w:rsidRDefault="00B41D6A" w:rsidP="00C419A7">
            <w:pPr>
              <w:rPr>
                <w:rFonts w:ascii="Times New Roman" w:hAnsi="Times New Roman" w:cs="Times New Roman"/>
              </w:rPr>
            </w:pPr>
          </w:p>
          <w:p w:rsidR="00B41D6A" w:rsidRPr="00C419A7" w:rsidRDefault="00B41D6A" w:rsidP="00C419A7">
            <w:pPr>
              <w:jc w:val="center"/>
              <w:rPr>
                <w:rFonts w:ascii="Times New Roman" w:hAnsi="Times New Roman" w:cs="Times New Roman"/>
              </w:rPr>
            </w:pPr>
          </w:p>
        </w:tc>
      </w:tr>
    </w:tbl>
    <w:p w:rsidR="00B41D6A" w:rsidRDefault="00B41D6A" w:rsidP="00C419A7"/>
    <w:tbl>
      <w:tblPr>
        <w:tblStyle w:val="Tabelacomgrade"/>
        <w:tblW w:w="9781" w:type="dxa"/>
        <w:tblInd w:w="-34" w:type="dxa"/>
        <w:tblLayout w:type="fixed"/>
        <w:tblLook w:val="04A0" w:firstRow="1" w:lastRow="0" w:firstColumn="1" w:lastColumn="0" w:noHBand="0" w:noVBand="1"/>
      </w:tblPr>
      <w:tblGrid>
        <w:gridCol w:w="1843"/>
        <w:gridCol w:w="7938"/>
      </w:tblGrid>
      <w:tr w:rsidR="00B41D6A" w:rsidTr="004421C2">
        <w:tc>
          <w:tcPr>
            <w:tcW w:w="9781" w:type="dxa"/>
            <w:gridSpan w:val="2"/>
            <w:shd w:val="clear" w:color="auto" w:fill="BFBFBF" w:themeFill="background1" w:themeFillShade="BF"/>
          </w:tcPr>
          <w:p w:rsidR="00B41D6A" w:rsidRPr="00B13318" w:rsidRDefault="00B41D6A" w:rsidP="00146646">
            <w:pPr>
              <w:jc w:val="center"/>
              <w:rPr>
                <w:rFonts w:ascii="Times New Roman" w:hAnsi="Times New Roman" w:cs="Times New Roman"/>
              </w:rPr>
            </w:pPr>
            <w:r w:rsidRPr="004003A1">
              <w:rPr>
                <w:rFonts w:cstheme="minorHAnsi"/>
                <w:b/>
                <w:sz w:val="21"/>
                <w:szCs w:val="21"/>
              </w:rPr>
              <w:t xml:space="preserve">Pôsteres - Sessão </w:t>
            </w:r>
            <w:proofErr w:type="gramStart"/>
            <w:r w:rsidRPr="004003A1">
              <w:rPr>
                <w:rFonts w:cstheme="minorHAnsi"/>
                <w:b/>
                <w:sz w:val="21"/>
                <w:szCs w:val="21"/>
              </w:rPr>
              <w:t>3</w:t>
            </w:r>
            <w:proofErr w:type="gramEnd"/>
            <w:r w:rsidRPr="004003A1">
              <w:rPr>
                <w:rFonts w:cstheme="minorHAnsi"/>
                <w:b/>
                <w:sz w:val="21"/>
                <w:szCs w:val="21"/>
              </w:rPr>
              <w:t>: Relação Público-Privada em Saúde e Saúde Suplementar</w:t>
            </w:r>
          </w:p>
        </w:tc>
      </w:tr>
      <w:tr w:rsidR="00B41D6A" w:rsidTr="004421C2">
        <w:tc>
          <w:tcPr>
            <w:tcW w:w="9781" w:type="dxa"/>
            <w:gridSpan w:val="2"/>
            <w:shd w:val="clear" w:color="auto" w:fill="BFBFBF" w:themeFill="background1" w:themeFillShade="BF"/>
          </w:tcPr>
          <w:p w:rsidR="00B41D6A" w:rsidRDefault="00B41D6A" w:rsidP="00146646">
            <w:pPr>
              <w:jc w:val="center"/>
              <w:rPr>
                <w:rFonts w:ascii="Times New Roman" w:hAnsi="Times New Roman" w:cs="Times New Roman"/>
              </w:rPr>
            </w:pPr>
            <w:r w:rsidRPr="00B13318">
              <w:rPr>
                <w:rFonts w:ascii="Times New Roman" w:hAnsi="Times New Roman" w:cs="Times New Roman"/>
              </w:rPr>
              <w:t>Autor</w:t>
            </w:r>
            <w:r>
              <w:rPr>
                <w:rFonts w:ascii="Times New Roman" w:hAnsi="Times New Roman" w:cs="Times New Roman"/>
              </w:rPr>
              <w:t>(</w:t>
            </w:r>
            <w:r w:rsidRPr="00B13318">
              <w:rPr>
                <w:rFonts w:ascii="Times New Roman" w:hAnsi="Times New Roman" w:cs="Times New Roman"/>
              </w:rPr>
              <w:t>es</w:t>
            </w:r>
            <w:r>
              <w:rPr>
                <w:rFonts w:ascii="Times New Roman" w:hAnsi="Times New Roman" w:cs="Times New Roman"/>
              </w:rPr>
              <w:t>) e instituição(</w:t>
            </w:r>
            <w:proofErr w:type="spellStart"/>
            <w:r>
              <w:rPr>
                <w:rFonts w:ascii="Times New Roman" w:hAnsi="Times New Roman" w:cs="Times New Roman"/>
              </w:rPr>
              <w:t>ões</w:t>
            </w:r>
            <w:proofErr w:type="spellEnd"/>
            <w:r>
              <w:rPr>
                <w:rFonts w:ascii="Times New Roman" w:hAnsi="Times New Roman" w:cs="Times New Roman"/>
              </w:rPr>
              <w:t>):</w:t>
            </w:r>
          </w:p>
          <w:p w:rsidR="00B41D6A" w:rsidRDefault="00B41D6A" w:rsidP="00146646">
            <w:pPr>
              <w:jc w:val="center"/>
              <w:rPr>
                <w:rFonts w:ascii="Times New Roman" w:hAnsi="Times New Roman" w:cs="Times New Roman"/>
              </w:rPr>
            </w:pPr>
          </w:p>
          <w:p w:rsidR="00B41D6A" w:rsidRPr="008C39DD" w:rsidRDefault="00B41D6A" w:rsidP="00146646">
            <w:pPr>
              <w:jc w:val="center"/>
              <w:rPr>
                <w:rFonts w:ascii="Times New Roman" w:hAnsi="Times New Roman" w:cs="Times New Roman"/>
              </w:rPr>
            </w:pPr>
            <w:r w:rsidRPr="008C39DD">
              <w:rPr>
                <w:rFonts w:ascii="Times New Roman" w:hAnsi="Times New Roman" w:cs="Times New Roman"/>
                <w:szCs w:val="21"/>
                <w:u w:val="single"/>
              </w:rPr>
              <w:t xml:space="preserve">Carolina </w:t>
            </w:r>
            <w:proofErr w:type="spellStart"/>
            <w:r w:rsidRPr="008C39DD">
              <w:rPr>
                <w:rFonts w:ascii="Times New Roman" w:hAnsi="Times New Roman" w:cs="Times New Roman"/>
                <w:szCs w:val="21"/>
                <w:u w:val="single"/>
              </w:rPr>
              <w:t>Zampirolli</w:t>
            </w:r>
            <w:proofErr w:type="spellEnd"/>
            <w:r w:rsidRPr="008C39DD">
              <w:rPr>
                <w:rFonts w:ascii="Times New Roman" w:hAnsi="Times New Roman" w:cs="Times New Roman"/>
                <w:szCs w:val="21"/>
                <w:u w:val="single"/>
              </w:rPr>
              <w:t xml:space="preserve"> Dias</w:t>
            </w:r>
            <w:r w:rsidRPr="008C39DD">
              <w:rPr>
                <w:rFonts w:ascii="Times New Roman" w:hAnsi="Times New Roman" w:cs="Times New Roman"/>
                <w:szCs w:val="21"/>
              </w:rPr>
              <w:t>1,2; Isabella de Figueiredo Zuppo1,2; Mariana Michel Barbosa1,2; Marina Morgado Garcia1,2; Natália Cristina Cardoso Freitas1,2; Francisco de Assis Acurcio1,2; Juliana Álvares1,2; Augusto Afonso Guerra Júnior1,2. 1 Programa de Pós-Graduação em Medicamentos e Assistência Farmacêutica da UFMG. 2 Centro Colaborador do SUS Avaliação de Tecnologia e Excelência em Saúde (CCATES).</w:t>
            </w:r>
          </w:p>
        </w:tc>
      </w:tr>
      <w:tr w:rsidR="00B41D6A" w:rsidTr="004421C2">
        <w:tc>
          <w:tcPr>
            <w:tcW w:w="1843" w:type="dxa"/>
          </w:tcPr>
          <w:p w:rsidR="00B41D6A" w:rsidRPr="004421C2" w:rsidRDefault="00B41D6A" w:rsidP="008C39DD">
            <w:pPr>
              <w:jc w:val="center"/>
              <w:rPr>
                <w:rFonts w:ascii="Times New Roman" w:hAnsi="Times New Roman" w:cs="Times New Roman"/>
                <w:b/>
              </w:rPr>
            </w:pPr>
            <w:r w:rsidRPr="004421C2">
              <w:rPr>
                <w:rFonts w:ascii="Times New Roman" w:hAnsi="Times New Roman" w:cs="Times New Roman"/>
                <w:b/>
              </w:rPr>
              <w:t>Título</w:t>
            </w:r>
          </w:p>
        </w:tc>
        <w:tc>
          <w:tcPr>
            <w:tcW w:w="7938" w:type="dxa"/>
          </w:tcPr>
          <w:p w:rsidR="00B41D6A" w:rsidRDefault="00B41D6A" w:rsidP="00394629">
            <w:pPr>
              <w:jc w:val="both"/>
              <w:rPr>
                <w:rFonts w:ascii="Times New Roman" w:eastAsia="Times New Roman" w:hAnsi="Times New Roman" w:cs="Times New Roman"/>
              </w:rPr>
            </w:pPr>
            <w:r>
              <w:rPr>
                <w:rFonts w:ascii="Times New Roman" w:eastAsia="Times New Roman" w:hAnsi="Times New Roman" w:cs="Times New Roman"/>
              </w:rPr>
              <w:t>Vantagens e desvantagens da adoção de um modelo de Assistência Farmacêutica baseado na contratualização de farmácias privadas no Brasil</w:t>
            </w:r>
          </w:p>
          <w:p w:rsidR="00B41D6A" w:rsidRDefault="00B41D6A" w:rsidP="00394629">
            <w:pPr>
              <w:jc w:val="both"/>
              <w:rPr>
                <w:rFonts w:ascii="Times New Roman" w:hAnsi="Times New Roman" w:cs="Times New Roman"/>
              </w:rPr>
            </w:pPr>
          </w:p>
        </w:tc>
      </w:tr>
      <w:tr w:rsidR="00B41D6A" w:rsidTr="004421C2">
        <w:tc>
          <w:tcPr>
            <w:tcW w:w="1843" w:type="dxa"/>
          </w:tcPr>
          <w:p w:rsidR="00B41D6A" w:rsidRPr="004421C2" w:rsidRDefault="00B41D6A" w:rsidP="008C39DD">
            <w:pPr>
              <w:jc w:val="center"/>
              <w:rPr>
                <w:rFonts w:ascii="Times New Roman" w:hAnsi="Times New Roman" w:cs="Times New Roman"/>
                <w:b/>
              </w:rPr>
            </w:pPr>
            <w:r w:rsidRPr="004421C2">
              <w:rPr>
                <w:rFonts w:ascii="Times New Roman" w:hAnsi="Times New Roman" w:cs="Times New Roman"/>
                <w:b/>
              </w:rPr>
              <w:t>Palavras-chave</w:t>
            </w:r>
          </w:p>
        </w:tc>
        <w:tc>
          <w:tcPr>
            <w:tcW w:w="7938" w:type="dxa"/>
          </w:tcPr>
          <w:p w:rsidR="00B41D6A" w:rsidRPr="00B41D6A" w:rsidRDefault="00B41D6A" w:rsidP="00394629">
            <w:pPr>
              <w:jc w:val="both"/>
              <w:rPr>
                <w:rFonts w:ascii="Times New Roman" w:eastAsia="Times New Roman" w:hAnsi="Times New Roman" w:cs="Times New Roman"/>
                <w:b/>
                <w:color w:val="000000"/>
              </w:rPr>
            </w:pPr>
            <w:r w:rsidRPr="00B41D6A">
              <w:rPr>
                <w:rFonts w:ascii="Times New Roman" w:eastAsia="Times New Roman" w:hAnsi="Times New Roman" w:cs="Times New Roman"/>
                <w:color w:val="000000"/>
              </w:rPr>
              <w:t> </w:t>
            </w:r>
            <w:r w:rsidRPr="00B41D6A">
              <w:rPr>
                <w:rFonts w:ascii="Times New Roman" w:eastAsia="Times New Roman" w:hAnsi="Times New Roman" w:cs="Times New Roman"/>
              </w:rPr>
              <w:t>Assistência Farmacêutica, Acesso aos medicamentos</w:t>
            </w:r>
            <w:r w:rsidRPr="00B41D6A">
              <w:rPr>
                <w:rFonts w:ascii="Times New Roman" w:eastAsia="Times New Roman" w:hAnsi="Times New Roman" w:cs="Times New Roman"/>
                <w:b/>
                <w:color w:val="000000"/>
              </w:rPr>
              <w:t>.</w:t>
            </w:r>
          </w:p>
          <w:p w:rsidR="00B41D6A" w:rsidRPr="00B41D6A" w:rsidRDefault="00B41D6A" w:rsidP="00394629">
            <w:pPr>
              <w:jc w:val="both"/>
              <w:rPr>
                <w:rFonts w:ascii="Times New Roman" w:eastAsia="Times New Roman" w:hAnsi="Times New Roman" w:cs="Times New Roman"/>
                <w:b/>
                <w:color w:val="000000"/>
              </w:rPr>
            </w:pPr>
          </w:p>
        </w:tc>
      </w:tr>
      <w:tr w:rsidR="00B41D6A" w:rsidTr="004421C2">
        <w:tc>
          <w:tcPr>
            <w:tcW w:w="1843" w:type="dxa"/>
          </w:tcPr>
          <w:p w:rsidR="00B41D6A" w:rsidRDefault="00B41D6A" w:rsidP="008C39DD">
            <w:pPr>
              <w:jc w:val="center"/>
              <w:rPr>
                <w:rFonts w:ascii="Times New Roman" w:hAnsi="Times New Roman" w:cs="Times New Roman"/>
                <w:b/>
              </w:rPr>
            </w:pPr>
          </w:p>
          <w:p w:rsidR="00B41D6A" w:rsidRDefault="00B41D6A" w:rsidP="008C39DD">
            <w:pPr>
              <w:jc w:val="center"/>
              <w:rPr>
                <w:rFonts w:ascii="Times New Roman" w:hAnsi="Times New Roman" w:cs="Times New Roman"/>
                <w:b/>
              </w:rPr>
            </w:pPr>
          </w:p>
          <w:p w:rsidR="00B41D6A" w:rsidRDefault="00B41D6A" w:rsidP="008C39DD">
            <w:pPr>
              <w:jc w:val="center"/>
              <w:rPr>
                <w:rFonts w:ascii="Times New Roman" w:hAnsi="Times New Roman" w:cs="Times New Roman"/>
                <w:b/>
              </w:rPr>
            </w:pPr>
          </w:p>
          <w:p w:rsidR="00B41D6A" w:rsidRDefault="00B41D6A" w:rsidP="008C39DD">
            <w:pPr>
              <w:jc w:val="center"/>
              <w:rPr>
                <w:rFonts w:ascii="Times New Roman" w:hAnsi="Times New Roman" w:cs="Times New Roman"/>
                <w:b/>
              </w:rPr>
            </w:pPr>
          </w:p>
          <w:p w:rsidR="00B41D6A" w:rsidRDefault="00B41D6A" w:rsidP="008C39DD">
            <w:pPr>
              <w:jc w:val="center"/>
              <w:rPr>
                <w:rFonts w:ascii="Times New Roman" w:hAnsi="Times New Roman" w:cs="Times New Roman"/>
                <w:b/>
              </w:rPr>
            </w:pPr>
          </w:p>
          <w:p w:rsidR="00B41D6A" w:rsidRDefault="00B41D6A" w:rsidP="008C39DD">
            <w:pPr>
              <w:jc w:val="center"/>
              <w:rPr>
                <w:rFonts w:ascii="Times New Roman" w:hAnsi="Times New Roman" w:cs="Times New Roman"/>
                <w:b/>
              </w:rPr>
            </w:pPr>
          </w:p>
          <w:p w:rsidR="00B41D6A" w:rsidRDefault="00B41D6A" w:rsidP="008C39DD">
            <w:pPr>
              <w:jc w:val="center"/>
              <w:rPr>
                <w:rFonts w:ascii="Times New Roman" w:hAnsi="Times New Roman" w:cs="Times New Roman"/>
                <w:b/>
              </w:rPr>
            </w:pPr>
          </w:p>
          <w:p w:rsidR="00B41D6A" w:rsidRDefault="00B41D6A" w:rsidP="008C39DD">
            <w:pPr>
              <w:jc w:val="center"/>
              <w:rPr>
                <w:rFonts w:ascii="Times New Roman" w:hAnsi="Times New Roman" w:cs="Times New Roman"/>
                <w:b/>
              </w:rPr>
            </w:pPr>
          </w:p>
          <w:p w:rsidR="00B41D6A" w:rsidRDefault="00B41D6A" w:rsidP="008C39DD">
            <w:pPr>
              <w:jc w:val="center"/>
              <w:rPr>
                <w:rFonts w:ascii="Times New Roman" w:hAnsi="Times New Roman" w:cs="Times New Roman"/>
                <w:b/>
              </w:rPr>
            </w:pPr>
          </w:p>
          <w:p w:rsidR="00B41D6A" w:rsidRDefault="00B41D6A" w:rsidP="008C39DD">
            <w:pPr>
              <w:jc w:val="center"/>
              <w:rPr>
                <w:rFonts w:ascii="Times New Roman" w:hAnsi="Times New Roman" w:cs="Times New Roman"/>
                <w:b/>
              </w:rPr>
            </w:pPr>
          </w:p>
          <w:p w:rsidR="00B41D6A" w:rsidRDefault="00B41D6A" w:rsidP="008C39DD">
            <w:pPr>
              <w:jc w:val="center"/>
              <w:rPr>
                <w:rFonts w:ascii="Times New Roman" w:hAnsi="Times New Roman" w:cs="Times New Roman"/>
                <w:b/>
              </w:rPr>
            </w:pPr>
          </w:p>
          <w:p w:rsidR="00B41D6A" w:rsidRPr="004421C2" w:rsidRDefault="00B41D6A" w:rsidP="008C39DD">
            <w:pPr>
              <w:jc w:val="center"/>
              <w:rPr>
                <w:rFonts w:ascii="Times New Roman" w:hAnsi="Times New Roman" w:cs="Times New Roman"/>
                <w:b/>
              </w:rPr>
            </w:pPr>
            <w:r w:rsidRPr="004421C2">
              <w:rPr>
                <w:rFonts w:ascii="Times New Roman" w:hAnsi="Times New Roman" w:cs="Times New Roman"/>
                <w:b/>
              </w:rPr>
              <w:t>Resumo</w:t>
            </w:r>
          </w:p>
        </w:tc>
        <w:tc>
          <w:tcPr>
            <w:tcW w:w="7938" w:type="dxa"/>
          </w:tcPr>
          <w:p w:rsidR="00B41D6A" w:rsidRPr="00B41D6A" w:rsidRDefault="00B41D6A" w:rsidP="008C39DD">
            <w:pPr>
              <w:jc w:val="both"/>
              <w:rPr>
                <w:rFonts w:ascii="Times New Roman" w:eastAsia="Times New Roman" w:hAnsi="Times New Roman" w:cs="Times New Roman"/>
              </w:rPr>
            </w:pPr>
            <w:r w:rsidRPr="00B41D6A">
              <w:rPr>
                <w:rFonts w:ascii="Times New Roman" w:eastAsia="Times New Roman" w:hAnsi="Times New Roman" w:cs="Times New Roman"/>
                <w:b/>
              </w:rPr>
              <w:t>Justificativa:</w:t>
            </w:r>
            <w:r w:rsidRPr="00B41D6A">
              <w:rPr>
                <w:rFonts w:ascii="Times New Roman" w:eastAsia="Times New Roman" w:hAnsi="Times New Roman" w:cs="Times New Roman"/>
              </w:rPr>
              <w:t xml:space="preserve"> O gasto com medicamentos pelo Sistema Único de Saúde (SUS) cresceu significativamente nos últimos anos, decorrente, dentre outros, de buscas da melhoria do acesso aos medicamentos. Contudo, estudos mostram que o mesmo ainda está comprometido no país. Assim, a discussão sobre alternativas ao modelo brasileiro vigente torna-se necessária, levantando a possibilidade de melhor alocação de recursos e maior eficiência do sistema. </w:t>
            </w:r>
          </w:p>
          <w:p w:rsidR="00B41D6A" w:rsidRPr="00B41D6A" w:rsidRDefault="00B41D6A" w:rsidP="008C39DD">
            <w:pPr>
              <w:jc w:val="both"/>
              <w:rPr>
                <w:rFonts w:ascii="Times New Roman" w:eastAsia="Times New Roman" w:hAnsi="Times New Roman" w:cs="Times New Roman"/>
              </w:rPr>
            </w:pPr>
            <w:r w:rsidRPr="00B41D6A">
              <w:rPr>
                <w:rFonts w:ascii="Times New Roman" w:eastAsia="Times New Roman" w:hAnsi="Times New Roman" w:cs="Times New Roman"/>
                <w:b/>
              </w:rPr>
              <w:t xml:space="preserve">Objetivo: </w:t>
            </w:r>
            <w:r w:rsidRPr="00B41D6A">
              <w:rPr>
                <w:rFonts w:ascii="Times New Roman" w:eastAsia="Times New Roman" w:hAnsi="Times New Roman" w:cs="Times New Roman"/>
              </w:rPr>
              <w:t xml:space="preserve">Levantar as principais vantagens e desvantagens de um modelo de Assistência Farmacêutica (AF) baseado em </w:t>
            </w:r>
            <w:proofErr w:type="spellStart"/>
            <w:r w:rsidRPr="00B41D6A">
              <w:rPr>
                <w:rFonts w:ascii="Times New Roman" w:eastAsia="Times New Roman" w:hAnsi="Times New Roman" w:cs="Times New Roman"/>
              </w:rPr>
              <w:t>contratualização</w:t>
            </w:r>
            <w:proofErr w:type="spellEnd"/>
            <w:r w:rsidRPr="00B41D6A">
              <w:rPr>
                <w:rFonts w:ascii="Times New Roman" w:eastAsia="Times New Roman" w:hAnsi="Times New Roman" w:cs="Times New Roman"/>
              </w:rPr>
              <w:t xml:space="preserve"> de Farmácias Privadas (FP).</w:t>
            </w:r>
          </w:p>
          <w:p w:rsidR="00B41D6A" w:rsidRPr="00B41D6A" w:rsidRDefault="00B41D6A" w:rsidP="008C39DD">
            <w:pPr>
              <w:shd w:val="clear" w:color="auto" w:fill="FFFFFF"/>
              <w:jc w:val="both"/>
              <w:rPr>
                <w:rFonts w:ascii="Times New Roman" w:eastAsia="Times New Roman" w:hAnsi="Times New Roman" w:cs="Times New Roman"/>
              </w:rPr>
            </w:pPr>
            <w:r w:rsidRPr="00B41D6A">
              <w:rPr>
                <w:rFonts w:ascii="Times New Roman" w:eastAsia="Times New Roman" w:hAnsi="Times New Roman" w:cs="Times New Roman"/>
                <w:b/>
              </w:rPr>
              <w:t>Metodologia:</w:t>
            </w:r>
            <w:bookmarkStart w:id="1" w:name="_z9djizk6avnp"/>
            <w:bookmarkEnd w:id="1"/>
            <w:r w:rsidRPr="00B41D6A">
              <w:rPr>
                <w:rFonts w:ascii="Times New Roman" w:eastAsia="Times New Roman" w:hAnsi="Times New Roman" w:cs="Times New Roman"/>
              </w:rPr>
              <w:t xml:space="preserve"> Especialistas, representantes das autoridades judiciais, legislativas e pesquisadores de nove países da América Latina, Europa e Oceania participaram de um painel internacional no Brasil, em março de 2018. Os participantes foram divididos em grupos para discutir um estudo de caso sobre modelos hipotéticos de AF, baseados em modelos exitosos praticados em outros países. As vantagens e desvantagens deveriam abordar critérios relacionados à legalidade, controle, custos e investimento em medicamentos, eficiência, acesso global e satisfação do usuário com o modelo.  </w:t>
            </w:r>
          </w:p>
          <w:p w:rsidR="00B41D6A" w:rsidRPr="00B41D6A" w:rsidRDefault="00B41D6A" w:rsidP="008C39DD">
            <w:pPr>
              <w:shd w:val="clear" w:color="auto" w:fill="FFFFFF"/>
              <w:jc w:val="both"/>
              <w:rPr>
                <w:rFonts w:ascii="Times New Roman" w:eastAsia="Times New Roman" w:hAnsi="Times New Roman" w:cs="Times New Roman"/>
              </w:rPr>
            </w:pPr>
            <w:r w:rsidRPr="00B41D6A">
              <w:rPr>
                <w:rFonts w:ascii="Times New Roman" w:eastAsia="Times New Roman" w:hAnsi="Times New Roman" w:cs="Times New Roman"/>
                <w:b/>
              </w:rPr>
              <w:t>Resultados:</w:t>
            </w:r>
            <w:r w:rsidRPr="00B41D6A">
              <w:rPr>
                <w:rFonts w:ascii="Times New Roman" w:eastAsia="Times New Roman" w:hAnsi="Times New Roman" w:cs="Times New Roman"/>
              </w:rPr>
              <w:t xml:space="preserve"> Quanto às vantagens do modelo de </w:t>
            </w:r>
            <w:proofErr w:type="spellStart"/>
            <w:r w:rsidRPr="00B41D6A">
              <w:rPr>
                <w:rFonts w:ascii="Times New Roman" w:eastAsia="Times New Roman" w:hAnsi="Times New Roman" w:cs="Times New Roman"/>
              </w:rPr>
              <w:t>contratualização</w:t>
            </w:r>
            <w:proofErr w:type="spellEnd"/>
            <w:r w:rsidRPr="00B41D6A">
              <w:rPr>
                <w:rFonts w:ascii="Times New Roman" w:eastAsia="Times New Roman" w:hAnsi="Times New Roman" w:cs="Times New Roman"/>
              </w:rPr>
              <w:t xml:space="preserve">, foram listadas: flexibilidade de horários de atendimento das farmácias, logística de medicamentos facilitada, custos com perdas não pagas pelo Estado, além de haver a possibilidade de usar infraestrutura, força de trabalho e rede de suprimentos já estabelecida pela rede privada. Por outro lado, esses modelos apresentam desvantagens, como: possibilidade de ausência de FP em locais distantes, dificuldade no controle de desvios e fraudes, de integração com outros serviços do SUS e de assegurar a existência de serviços de cuidado farmacêutico. </w:t>
            </w:r>
          </w:p>
          <w:p w:rsidR="00B41D6A" w:rsidRPr="00B41D6A" w:rsidRDefault="00B41D6A" w:rsidP="008C39DD">
            <w:pPr>
              <w:jc w:val="both"/>
              <w:rPr>
                <w:rFonts w:ascii="Times New Roman" w:eastAsia="Times New Roman" w:hAnsi="Times New Roman" w:cs="Times New Roman"/>
              </w:rPr>
            </w:pPr>
            <w:r w:rsidRPr="00B41D6A">
              <w:rPr>
                <w:rFonts w:ascii="Times New Roman" w:eastAsia="Times New Roman" w:hAnsi="Times New Roman" w:cs="Times New Roman"/>
                <w:b/>
              </w:rPr>
              <w:t xml:space="preserve">Conclusão: </w:t>
            </w:r>
            <w:r w:rsidRPr="00B41D6A">
              <w:rPr>
                <w:rFonts w:ascii="Times New Roman" w:eastAsia="Times New Roman" w:hAnsi="Times New Roman" w:cs="Times New Roman"/>
              </w:rPr>
              <w:t xml:space="preserve">O modelo baseado em </w:t>
            </w:r>
            <w:proofErr w:type="spellStart"/>
            <w:r w:rsidRPr="00B41D6A">
              <w:rPr>
                <w:rFonts w:ascii="Times New Roman" w:eastAsia="Times New Roman" w:hAnsi="Times New Roman" w:cs="Times New Roman"/>
              </w:rPr>
              <w:t>contratualização</w:t>
            </w:r>
            <w:proofErr w:type="spellEnd"/>
            <w:r w:rsidRPr="00B41D6A">
              <w:rPr>
                <w:rFonts w:ascii="Times New Roman" w:eastAsia="Times New Roman" w:hAnsi="Times New Roman" w:cs="Times New Roman"/>
              </w:rPr>
              <w:t xml:space="preserve"> de FP parece ser eficiente, apesar de trazer limitações que poderiam comprometer o acesso e uso racional aos medicamentos. Ademais, existem dúvidas quanto à sua real efetividade no Brasil, ainda que diversos países com sistemas universais de saúde no mundo o adotem. </w:t>
            </w:r>
          </w:p>
        </w:tc>
      </w:tr>
      <w:tr w:rsidR="00B41D6A" w:rsidRPr="005802C8" w:rsidTr="004421C2">
        <w:tc>
          <w:tcPr>
            <w:tcW w:w="1843" w:type="dxa"/>
          </w:tcPr>
          <w:p w:rsidR="00B41D6A" w:rsidRPr="005802C8" w:rsidRDefault="00B41D6A" w:rsidP="008C39DD">
            <w:pPr>
              <w:jc w:val="center"/>
              <w:rPr>
                <w:rFonts w:ascii="Times New Roman" w:hAnsi="Times New Roman" w:cs="Times New Roman"/>
                <w:b/>
                <w:sz w:val="18"/>
                <w:szCs w:val="18"/>
              </w:rPr>
            </w:pPr>
            <w:r w:rsidRPr="005802C8">
              <w:rPr>
                <w:rFonts w:ascii="Times New Roman" w:hAnsi="Times New Roman" w:cs="Times New Roman"/>
                <w:b/>
                <w:sz w:val="18"/>
                <w:szCs w:val="18"/>
              </w:rPr>
              <w:t>Instituição financiadora da pesquisa e declaração de conflito de interesse</w:t>
            </w:r>
          </w:p>
        </w:tc>
        <w:tc>
          <w:tcPr>
            <w:tcW w:w="7938" w:type="dxa"/>
          </w:tcPr>
          <w:p w:rsidR="00B41D6A" w:rsidRPr="005802C8" w:rsidRDefault="00B41D6A" w:rsidP="00C419A7">
            <w:pPr>
              <w:rPr>
                <w:rFonts w:ascii="Times New Roman" w:hAnsi="Times New Roman" w:cs="Times New Roman"/>
                <w:sz w:val="18"/>
                <w:szCs w:val="18"/>
              </w:rPr>
            </w:pPr>
          </w:p>
          <w:p w:rsidR="00B41D6A" w:rsidRPr="005802C8" w:rsidRDefault="00B41D6A" w:rsidP="00506AE0">
            <w:pPr>
              <w:rPr>
                <w:rFonts w:ascii="Times New Roman" w:eastAsia="Times New Roman" w:hAnsi="Times New Roman" w:cs="Times New Roman"/>
                <w:sz w:val="18"/>
                <w:szCs w:val="18"/>
              </w:rPr>
            </w:pPr>
            <w:r w:rsidRPr="005802C8">
              <w:rPr>
                <w:rFonts w:ascii="Times New Roman" w:eastAsia="Times New Roman" w:hAnsi="Times New Roman" w:cs="Times New Roman"/>
                <w:sz w:val="18"/>
                <w:szCs w:val="18"/>
              </w:rPr>
              <w:t>CCATES</w:t>
            </w:r>
          </w:p>
          <w:p w:rsidR="00B41D6A" w:rsidRPr="005802C8" w:rsidRDefault="00B41D6A" w:rsidP="00506AE0">
            <w:pPr>
              <w:rPr>
                <w:rFonts w:ascii="Times New Roman" w:eastAsia="Times New Roman" w:hAnsi="Times New Roman" w:cs="Times New Roman"/>
                <w:sz w:val="18"/>
                <w:szCs w:val="18"/>
              </w:rPr>
            </w:pPr>
          </w:p>
          <w:p w:rsidR="00B41D6A" w:rsidRPr="005802C8" w:rsidRDefault="00B41D6A" w:rsidP="00506AE0">
            <w:pPr>
              <w:rPr>
                <w:rFonts w:ascii="Times New Roman" w:hAnsi="Times New Roman" w:cs="Times New Roman"/>
                <w:sz w:val="18"/>
                <w:szCs w:val="18"/>
              </w:rPr>
            </w:pPr>
            <w:r w:rsidRPr="005802C8">
              <w:rPr>
                <w:rFonts w:ascii="Times New Roman" w:eastAsia="Times New Roman" w:hAnsi="Times New Roman" w:cs="Times New Roman"/>
                <w:sz w:val="18"/>
                <w:szCs w:val="18"/>
              </w:rPr>
              <w:t>Nenhum conflito de interesse.</w:t>
            </w:r>
          </w:p>
          <w:p w:rsidR="00B41D6A" w:rsidRPr="005802C8" w:rsidRDefault="00B41D6A" w:rsidP="00C419A7">
            <w:pPr>
              <w:jc w:val="center"/>
              <w:rPr>
                <w:rFonts w:ascii="Times New Roman" w:hAnsi="Times New Roman" w:cs="Times New Roman"/>
                <w:sz w:val="18"/>
                <w:szCs w:val="18"/>
              </w:rPr>
            </w:pPr>
          </w:p>
        </w:tc>
      </w:tr>
    </w:tbl>
    <w:p w:rsidR="00B41D6A" w:rsidRDefault="00B41D6A" w:rsidP="00C419A7"/>
    <w:tbl>
      <w:tblPr>
        <w:tblStyle w:val="Tabelacomgrade"/>
        <w:tblW w:w="9781" w:type="dxa"/>
        <w:tblInd w:w="-34" w:type="dxa"/>
        <w:tblLayout w:type="fixed"/>
        <w:tblLook w:val="04A0" w:firstRow="1" w:lastRow="0" w:firstColumn="1" w:lastColumn="0" w:noHBand="0" w:noVBand="1"/>
      </w:tblPr>
      <w:tblGrid>
        <w:gridCol w:w="1843"/>
        <w:gridCol w:w="7938"/>
      </w:tblGrid>
      <w:tr w:rsidR="00B41D6A" w:rsidTr="004421C2">
        <w:tc>
          <w:tcPr>
            <w:tcW w:w="9781" w:type="dxa"/>
            <w:gridSpan w:val="2"/>
            <w:shd w:val="clear" w:color="auto" w:fill="BFBFBF" w:themeFill="background1" w:themeFillShade="BF"/>
          </w:tcPr>
          <w:p w:rsidR="00B41D6A" w:rsidRPr="00B13318" w:rsidRDefault="00B41D6A" w:rsidP="00146646">
            <w:pPr>
              <w:jc w:val="center"/>
              <w:rPr>
                <w:rFonts w:ascii="Times New Roman" w:hAnsi="Times New Roman" w:cs="Times New Roman"/>
              </w:rPr>
            </w:pPr>
            <w:r w:rsidRPr="004003A1">
              <w:rPr>
                <w:rFonts w:cstheme="minorHAnsi"/>
                <w:b/>
                <w:sz w:val="21"/>
                <w:szCs w:val="21"/>
              </w:rPr>
              <w:t>Pôsteres - Sessão 3: Relação Público-Privada em Saúde e Saúde Suplementar</w:t>
            </w:r>
          </w:p>
        </w:tc>
      </w:tr>
      <w:tr w:rsidR="00B41D6A" w:rsidTr="004421C2">
        <w:tc>
          <w:tcPr>
            <w:tcW w:w="9781" w:type="dxa"/>
            <w:gridSpan w:val="2"/>
            <w:shd w:val="clear" w:color="auto" w:fill="BFBFBF" w:themeFill="background1" w:themeFillShade="BF"/>
          </w:tcPr>
          <w:p w:rsidR="00B41D6A" w:rsidRDefault="00B41D6A" w:rsidP="00146646">
            <w:pPr>
              <w:jc w:val="center"/>
              <w:rPr>
                <w:rFonts w:ascii="Times New Roman" w:hAnsi="Times New Roman" w:cs="Times New Roman"/>
              </w:rPr>
            </w:pPr>
            <w:r w:rsidRPr="00B13318">
              <w:rPr>
                <w:rFonts w:ascii="Times New Roman" w:hAnsi="Times New Roman" w:cs="Times New Roman"/>
              </w:rPr>
              <w:t>Autor</w:t>
            </w:r>
            <w:r>
              <w:rPr>
                <w:rFonts w:ascii="Times New Roman" w:hAnsi="Times New Roman" w:cs="Times New Roman"/>
              </w:rPr>
              <w:t>(</w:t>
            </w:r>
            <w:r w:rsidRPr="00B13318">
              <w:rPr>
                <w:rFonts w:ascii="Times New Roman" w:hAnsi="Times New Roman" w:cs="Times New Roman"/>
              </w:rPr>
              <w:t>es</w:t>
            </w:r>
            <w:r>
              <w:rPr>
                <w:rFonts w:ascii="Times New Roman" w:hAnsi="Times New Roman" w:cs="Times New Roman"/>
              </w:rPr>
              <w:t>) e instituição(</w:t>
            </w:r>
            <w:proofErr w:type="spellStart"/>
            <w:r>
              <w:rPr>
                <w:rFonts w:ascii="Times New Roman" w:hAnsi="Times New Roman" w:cs="Times New Roman"/>
              </w:rPr>
              <w:t>ões</w:t>
            </w:r>
            <w:proofErr w:type="spellEnd"/>
            <w:r>
              <w:rPr>
                <w:rFonts w:ascii="Times New Roman" w:hAnsi="Times New Roman" w:cs="Times New Roman"/>
              </w:rPr>
              <w:t>):</w:t>
            </w:r>
          </w:p>
          <w:p w:rsidR="00B41D6A" w:rsidRDefault="00B41D6A" w:rsidP="00146646">
            <w:pPr>
              <w:jc w:val="center"/>
              <w:rPr>
                <w:rFonts w:ascii="Times New Roman" w:hAnsi="Times New Roman" w:cs="Times New Roman"/>
              </w:rPr>
            </w:pPr>
          </w:p>
          <w:p w:rsidR="00B41D6A" w:rsidRPr="009C3C29" w:rsidRDefault="00B41D6A" w:rsidP="00146646">
            <w:pPr>
              <w:jc w:val="center"/>
              <w:rPr>
                <w:rFonts w:ascii="Times New Roman" w:hAnsi="Times New Roman" w:cs="Times New Roman"/>
              </w:rPr>
            </w:pPr>
            <w:r w:rsidRPr="009C3C29">
              <w:rPr>
                <w:rFonts w:ascii="Times New Roman" w:hAnsi="Times New Roman" w:cs="Times New Roman"/>
                <w:szCs w:val="21"/>
                <w:u w:val="single"/>
              </w:rPr>
              <w:t>Isabella de Figueiredo Zuppo</w:t>
            </w:r>
            <w:r w:rsidRPr="009C3C29">
              <w:rPr>
                <w:rFonts w:ascii="Times New Roman" w:hAnsi="Times New Roman" w:cs="Times New Roman"/>
                <w:szCs w:val="21"/>
              </w:rPr>
              <w:t xml:space="preserve">¹, Cristina Mariano Ruas¹, Edna Afonso Reis¹, </w:t>
            </w:r>
            <w:proofErr w:type="spellStart"/>
            <w:r w:rsidRPr="009C3C29">
              <w:rPr>
                <w:rFonts w:ascii="Times New Roman" w:hAnsi="Times New Roman" w:cs="Times New Roman"/>
                <w:szCs w:val="21"/>
              </w:rPr>
              <w:t>Helian</w:t>
            </w:r>
            <w:proofErr w:type="spellEnd"/>
            <w:r w:rsidRPr="009C3C29">
              <w:rPr>
                <w:rFonts w:ascii="Times New Roman" w:hAnsi="Times New Roman" w:cs="Times New Roman"/>
                <w:szCs w:val="21"/>
              </w:rPr>
              <w:t xml:space="preserve"> Nunes de Oliveira¹. ¹Programa de pós-graduação em Medicamentos e Assistência Farmacêutica da UFMG.</w:t>
            </w:r>
          </w:p>
        </w:tc>
      </w:tr>
      <w:tr w:rsidR="00B41D6A" w:rsidTr="004421C2">
        <w:tc>
          <w:tcPr>
            <w:tcW w:w="1843" w:type="dxa"/>
          </w:tcPr>
          <w:p w:rsidR="00B41D6A" w:rsidRPr="004421C2" w:rsidRDefault="00B41D6A" w:rsidP="009C3C29">
            <w:pPr>
              <w:jc w:val="center"/>
              <w:rPr>
                <w:rFonts w:ascii="Times New Roman" w:hAnsi="Times New Roman" w:cs="Times New Roman"/>
                <w:b/>
              </w:rPr>
            </w:pPr>
            <w:r w:rsidRPr="004421C2">
              <w:rPr>
                <w:rFonts w:ascii="Times New Roman" w:hAnsi="Times New Roman" w:cs="Times New Roman"/>
                <w:b/>
              </w:rPr>
              <w:t>Título</w:t>
            </w:r>
          </w:p>
        </w:tc>
        <w:tc>
          <w:tcPr>
            <w:tcW w:w="7938" w:type="dxa"/>
          </w:tcPr>
          <w:p w:rsidR="00B41D6A" w:rsidRDefault="00B41D6A" w:rsidP="00F3082F">
            <w:pPr>
              <w:jc w:val="both"/>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Assistência médica e perfil das pessoas com sofrimento mental que utilizam antipsicóticos pertencentes ao Componente Especializado da Assistência Farmacêutica.</w:t>
            </w:r>
          </w:p>
          <w:p w:rsidR="00B41D6A" w:rsidRPr="00DC6789" w:rsidRDefault="00B41D6A" w:rsidP="00F3082F">
            <w:pPr>
              <w:jc w:val="both"/>
              <w:rPr>
                <w:rFonts w:ascii="Times New Roman" w:eastAsia="Times New Roman" w:hAnsi="Times New Roman" w:cs="Times New Roman"/>
                <w:color w:val="000000"/>
                <w:lang w:eastAsia="es-CO"/>
              </w:rPr>
            </w:pPr>
          </w:p>
        </w:tc>
      </w:tr>
      <w:tr w:rsidR="00B41D6A" w:rsidTr="0019756A">
        <w:tc>
          <w:tcPr>
            <w:tcW w:w="1843" w:type="dxa"/>
          </w:tcPr>
          <w:p w:rsidR="00B41D6A" w:rsidRPr="004421C2" w:rsidRDefault="00B41D6A" w:rsidP="009C3C29">
            <w:pPr>
              <w:jc w:val="center"/>
              <w:rPr>
                <w:rFonts w:ascii="Times New Roman" w:hAnsi="Times New Roman" w:cs="Times New Roman"/>
                <w:b/>
              </w:rPr>
            </w:pPr>
            <w:r w:rsidRPr="004421C2">
              <w:rPr>
                <w:rFonts w:ascii="Times New Roman" w:hAnsi="Times New Roman" w:cs="Times New Roman"/>
                <w:b/>
              </w:rPr>
              <w:t>Palavras-chave</w:t>
            </w:r>
          </w:p>
        </w:tc>
        <w:tc>
          <w:tcPr>
            <w:tcW w:w="7938" w:type="dxa"/>
            <w:vAlign w:val="center"/>
          </w:tcPr>
          <w:p w:rsidR="00B41D6A" w:rsidRDefault="00B41D6A" w:rsidP="008613B5">
            <w:pPr>
              <w:jc w:val="both"/>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Saúde mental, Assistência médica, Sistema de saúde, Saúde pública, Saúde privada.</w:t>
            </w:r>
          </w:p>
          <w:p w:rsidR="00B41D6A" w:rsidRPr="00DC6789" w:rsidRDefault="00B41D6A" w:rsidP="008613B5">
            <w:pPr>
              <w:jc w:val="both"/>
              <w:rPr>
                <w:rFonts w:ascii="Times New Roman" w:eastAsia="Times New Roman" w:hAnsi="Times New Roman" w:cs="Times New Roman"/>
                <w:color w:val="000000"/>
                <w:lang w:eastAsia="es-CO"/>
              </w:rPr>
            </w:pPr>
          </w:p>
        </w:tc>
      </w:tr>
      <w:tr w:rsidR="00B41D6A" w:rsidTr="004421C2">
        <w:tc>
          <w:tcPr>
            <w:tcW w:w="1843" w:type="dxa"/>
          </w:tcPr>
          <w:p w:rsidR="00B41D6A" w:rsidRDefault="00B41D6A" w:rsidP="009C3C29">
            <w:pPr>
              <w:jc w:val="center"/>
              <w:rPr>
                <w:rFonts w:ascii="Times New Roman" w:hAnsi="Times New Roman" w:cs="Times New Roman"/>
                <w:b/>
              </w:rPr>
            </w:pPr>
          </w:p>
          <w:p w:rsidR="00B41D6A" w:rsidRDefault="00B41D6A" w:rsidP="009C3C29">
            <w:pPr>
              <w:jc w:val="center"/>
              <w:rPr>
                <w:rFonts w:ascii="Times New Roman" w:hAnsi="Times New Roman" w:cs="Times New Roman"/>
                <w:b/>
              </w:rPr>
            </w:pPr>
          </w:p>
          <w:p w:rsidR="00B41D6A" w:rsidRDefault="00B41D6A" w:rsidP="009C3C29">
            <w:pPr>
              <w:jc w:val="center"/>
              <w:rPr>
                <w:rFonts w:ascii="Times New Roman" w:hAnsi="Times New Roman" w:cs="Times New Roman"/>
                <w:b/>
              </w:rPr>
            </w:pPr>
          </w:p>
          <w:p w:rsidR="00B41D6A" w:rsidRDefault="00B41D6A" w:rsidP="009C3C29">
            <w:pPr>
              <w:jc w:val="center"/>
              <w:rPr>
                <w:rFonts w:ascii="Times New Roman" w:hAnsi="Times New Roman" w:cs="Times New Roman"/>
                <w:b/>
              </w:rPr>
            </w:pPr>
          </w:p>
          <w:p w:rsidR="00B41D6A" w:rsidRDefault="00B41D6A" w:rsidP="009C3C29">
            <w:pPr>
              <w:jc w:val="center"/>
              <w:rPr>
                <w:rFonts w:ascii="Times New Roman" w:hAnsi="Times New Roman" w:cs="Times New Roman"/>
                <w:b/>
              </w:rPr>
            </w:pPr>
          </w:p>
          <w:p w:rsidR="00B41D6A" w:rsidRDefault="00B41D6A" w:rsidP="009C3C29">
            <w:pPr>
              <w:jc w:val="center"/>
              <w:rPr>
                <w:rFonts w:ascii="Times New Roman" w:hAnsi="Times New Roman" w:cs="Times New Roman"/>
                <w:b/>
              </w:rPr>
            </w:pPr>
          </w:p>
          <w:p w:rsidR="00B41D6A" w:rsidRDefault="00B41D6A" w:rsidP="009C3C29">
            <w:pPr>
              <w:jc w:val="center"/>
              <w:rPr>
                <w:rFonts w:ascii="Times New Roman" w:hAnsi="Times New Roman" w:cs="Times New Roman"/>
                <w:b/>
              </w:rPr>
            </w:pPr>
          </w:p>
          <w:p w:rsidR="00B41D6A" w:rsidRDefault="00B41D6A" w:rsidP="009C3C29">
            <w:pPr>
              <w:jc w:val="center"/>
              <w:rPr>
                <w:rFonts w:ascii="Times New Roman" w:hAnsi="Times New Roman" w:cs="Times New Roman"/>
                <w:b/>
              </w:rPr>
            </w:pPr>
          </w:p>
          <w:p w:rsidR="00B41D6A" w:rsidRDefault="00B41D6A" w:rsidP="009C3C29">
            <w:pPr>
              <w:jc w:val="center"/>
              <w:rPr>
                <w:rFonts w:ascii="Times New Roman" w:hAnsi="Times New Roman" w:cs="Times New Roman"/>
                <w:b/>
              </w:rPr>
            </w:pPr>
          </w:p>
          <w:p w:rsidR="00B41D6A" w:rsidRDefault="00B41D6A" w:rsidP="009C3C29">
            <w:pPr>
              <w:jc w:val="center"/>
              <w:rPr>
                <w:rFonts w:ascii="Times New Roman" w:hAnsi="Times New Roman" w:cs="Times New Roman"/>
                <w:b/>
              </w:rPr>
            </w:pPr>
          </w:p>
          <w:p w:rsidR="00B41D6A" w:rsidRDefault="00B41D6A" w:rsidP="009C3C29">
            <w:pPr>
              <w:jc w:val="center"/>
              <w:rPr>
                <w:rFonts w:ascii="Times New Roman" w:hAnsi="Times New Roman" w:cs="Times New Roman"/>
                <w:b/>
              </w:rPr>
            </w:pPr>
          </w:p>
          <w:p w:rsidR="00B41D6A" w:rsidRDefault="00B41D6A" w:rsidP="009C3C29">
            <w:pPr>
              <w:jc w:val="center"/>
              <w:rPr>
                <w:rFonts w:ascii="Times New Roman" w:hAnsi="Times New Roman" w:cs="Times New Roman"/>
                <w:b/>
              </w:rPr>
            </w:pPr>
          </w:p>
          <w:p w:rsidR="00B41D6A" w:rsidRDefault="00B41D6A" w:rsidP="009C3C29">
            <w:pPr>
              <w:jc w:val="center"/>
              <w:rPr>
                <w:rFonts w:ascii="Times New Roman" w:hAnsi="Times New Roman" w:cs="Times New Roman"/>
                <w:b/>
              </w:rPr>
            </w:pPr>
          </w:p>
          <w:p w:rsidR="00B41D6A" w:rsidRPr="004421C2" w:rsidRDefault="00B41D6A" w:rsidP="009C3C29">
            <w:pPr>
              <w:jc w:val="center"/>
              <w:rPr>
                <w:rFonts w:ascii="Times New Roman" w:hAnsi="Times New Roman" w:cs="Times New Roman"/>
                <w:b/>
              </w:rPr>
            </w:pPr>
            <w:r w:rsidRPr="004421C2">
              <w:rPr>
                <w:rFonts w:ascii="Times New Roman" w:hAnsi="Times New Roman" w:cs="Times New Roman"/>
                <w:b/>
              </w:rPr>
              <w:t>Resumo</w:t>
            </w:r>
          </w:p>
        </w:tc>
        <w:tc>
          <w:tcPr>
            <w:tcW w:w="7938" w:type="dxa"/>
          </w:tcPr>
          <w:p w:rsidR="00B41D6A" w:rsidRDefault="00B41D6A" w:rsidP="008613B5">
            <w:pPr>
              <w:jc w:val="both"/>
              <w:rPr>
                <w:rFonts w:ascii="Times New Roman" w:eastAsia="Times New Roman" w:hAnsi="Times New Roman" w:cs="Times New Roman"/>
                <w:color w:val="000000"/>
                <w:lang w:eastAsia="es-CO"/>
              </w:rPr>
            </w:pPr>
            <w:r>
              <w:rPr>
                <w:rFonts w:ascii="Times New Roman" w:eastAsia="Times New Roman" w:hAnsi="Times New Roman" w:cs="Times New Roman"/>
                <w:b/>
                <w:color w:val="000000"/>
                <w:lang w:eastAsia="es-CO"/>
              </w:rPr>
              <w:t>Justificativa:</w:t>
            </w:r>
            <w:r>
              <w:rPr>
                <w:rFonts w:ascii="Times New Roman" w:eastAsia="Times New Roman" w:hAnsi="Times New Roman" w:cs="Times New Roman"/>
                <w:color w:val="000000"/>
                <w:lang w:eastAsia="es-CO"/>
              </w:rPr>
              <w:t xml:space="preserve"> O sistema de saúde no Brasil, apesar de proposto como um sistema único, se dá num mercado misto (público/privado), com tamanho e complexidade tecnológica que marcam o padrão de desigualdade social do país. Em um cenário de atendimento especializado, como na saúde mental, esse padrão é especialmente complexo e a necessidade de se discutir sobre equidade é muito relevante.</w:t>
            </w:r>
          </w:p>
          <w:p w:rsidR="00B41D6A" w:rsidRDefault="00B41D6A" w:rsidP="008613B5">
            <w:pPr>
              <w:jc w:val="both"/>
              <w:rPr>
                <w:rFonts w:ascii="Times New Roman" w:eastAsia="Times New Roman" w:hAnsi="Times New Roman" w:cs="Times New Roman"/>
                <w:color w:val="000000"/>
                <w:lang w:eastAsia="es-CO"/>
              </w:rPr>
            </w:pPr>
            <w:r>
              <w:rPr>
                <w:rFonts w:ascii="Times New Roman" w:eastAsia="Times New Roman" w:hAnsi="Times New Roman" w:cs="Times New Roman"/>
                <w:b/>
                <w:color w:val="000000"/>
                <w:lang w:eastAsia="es-CO"/>
              </w:rPr>
              <w:t>Objetivo:</w:t>
            </w:r>
            <w:r>
              <w:rPr>
                <w:rFonts w:ascii="Times New Roman" w:eastAsia="Times New Roman" w:hAnsi="Times New Roman" w:cs="Times New Roman"/>
                <w:color w:val="000000"/>
                <w:lang w:eastAsia="es-CO"/>
              </w:rPr>
              <w:t xml:space="preserve"> Descrever a relação entre a assistência médica especializada em saúde mental e o mercado de saúde público/privado.</w:t>
            </w:r>
          </w:p>
          <w:p w:rsidR="00B41D6A" w:rsidRDefault="00B41D6A" w:rsidP="008613B5">
            <w:pPr>
              <w:jc w:val="both"/>
              <w:rPr>
                <w:rFonts w:ascii="Times New Roman" w:eastAsia="Times New Roman" w:hAnsi="Times New Roman" w:cs="Times New Roman"/>
                <w:color w:val="000000"/>
                <w:lang w:eastAsia="es-CO"/>
              </w:rPr>
            </w:pPr>
            <w:r>
              <w:rPr>
                <w:rFonts w:ascii="Times New Roman" w:eastAsia="Times New Roman" w:hAnsi="Times New Roman" w:cs="Times New Roman"/>
                <w:b/>
                <w:color w:val="000000"/>
                <w:lang w:eastAsia="es-CO"/>
              </w:rPr>
              <w:t>Metodologia:</w:t>
            </w:r>
            <w:r>
              <w:rPr>
                <w:rFonts w:ascii="Times New Roman" w:eastAsia="Times New Roman" w:hAnsi="Times New Roman" w:cs="Times New Roman"/>
                <w:color w:val="000000"/>
                <w:lang w:eastAsia="es-CO"/>
              </w:rPr>
              <w:t xml:space="preserve"> Foi realizado um estudo transversal, com usuários de medicamentos antipsicóticos dispensados em uma farmácia estadual do Componente Especializado da Assistência Farmacêutica. Os pacientes foram convidados a participar da entrevista e respondiam ao questionário, após consentimento livre e esclarecido. A pesquisa foi conduzida entre setembro-2017 a março-2018 e os dados processados em abril-2018.   </w:t>
            </w:r>
          </w:p>
          <w:p w:rsidR="00B41D6A" w:rsidRDefault="00B41D6A" w:rsidP="008613B5">
            <w:pPr>
              <w:jc w:val="both"/>
              <w:rPr>
                <w:rFonts w:ascii="Times New Roman" w:eastAsia="Times New Roman" w:hAnsi="Times New Roman" w:cs="Times New Roman"/>
                <w:color w:val="000000"/>
                <w:lang w:eastAsia="es-CO"/>
              </w:rPr>
            </w:pPr>
            <w:r>
              <w:rPr>
                <w:rFonts w:ascii="Times New Roman" w:eastAsia="Times New Roman" w:hAnsi="Times New Roman" w:cs="Times New Roman"/>
                <w:b/>
                <w:color w:val="000000"/>
                <w:lang w:eastAsia="es-CO"/>
              </w:rPr>
              <w:t>Resultados:</w:t>
            </w:r>
            <w:r>
              <w:rPr>
                <w:rFonts w:ascii="Times New Roman" w:eastAsia="Times New Roman" w:hAnsi="Times New Roman" w:cs="Times New Roman"/>
                <w:color w:val="000000"/>
                <w:lang w:eastAsia="es-CO"/>
              </w:rPr>
              <w:t xml:space="preserve"> O estudo revelou que 55,3% dos entrevistados receberam assistência médica especializada no serviço público e 51,5% no privado, sendo que alguns utilizavam os dois modelos de assistência. Apenas 14,8% da amostra afirma utilizar serviços especializados da Rede de Atenção Psicossocial do Sistema Único de Saúde (SUS). Num contexto em que 67,3% dos pacientes têm renda familiar de até quatro salários mínimos e 15,3% estão inseridos no mercado de trabalho, é possível identificar um desequilíbrio entre as condições socioeconômicas e o tipo de mercado de saúde acessado pelo indivíduo.</w:t>
            </w:r>
          </w:p>
          <w:p w:rsidR="00B41D6A" w:rsidRPr="00B41D6A" w:rsidRDefault="00B41D6A" w:rsidP="008613B5">
            <w:pPr>
              <w:jc w:val="both"/>
              <w:rPr>
                <w:rFonts w:ascii="Times New Roman" w:eastAsia="Times New Roman" w:hAnsi="Times New Roman" w:cs="Times New Roman"/>
              </w:rPr>
            </w:pPr>
            <w:r w:rsidRPr="008613B5">
              <w:rPr>
                <w:rFonts w:ascii="Times New Roman" w:eastAsia="Times New Roman" w:hAnsi="Times New Roman" w:cs="Times New Roman"/>
                <w:b/>
                <w:color w:val="000000"/>
                <w:lang w:eastAsia="es-CO"/>
              </w:rPr>
              <w:t>Conclusão:</w:t>
            </w:r>
            <w:r>
              <w:rPr>
                <w:rFonts w:ascii="Times New Roman" w:eastAsia="Times New Roman" w:hAnsi="Times New Roman" w:cs="Times New Roman"/>
                <w:color w:val="000000"/>
                <w:lang w:eastAsia="es-CO"/>
              </w:rPr>
              <w:t xml:space="preserve"> Considerando o modelo </w:t>
            </w:r>
            <w:proofErr w:type="gramStart"/>
            <w:r>
              <w:rPr>
                <w:rFonts w:ascii="Times New Roman" w:eastAsia="Times New Roman" w:hAnsi="Times New Roman" w:cs="Times New Roman"/>
                <w:color w:val="000000"/>
                <w:lang w:eastAsia="es-CO"/>
              </w:rPr>
              <w:t>misto do mercado de saúde brasileiro, estruturado em assistência pública e privada</w:t>
            </w:r>
            <w:proofErr w:type="gramEnd"/>
            <w:r>
              <w:rPr>
                <w:rFonts w:ascii="Times New Roman" w:eastAsia="Times New Roman" w:hAnsi="Times New Roman" w:cs="Times New Roman"/>
                <w:color w:val="000000"/>
                <w:lang w:eastAsia="es-CO"/>
              </w:rPr>
              <w:t>, a necessidade de promover igualdade para a população e a complexidade da assistência especializada em saúde mental, é importante entender como os pacientes com transtornos psicóticos acessam o sistema de saúde para receber assistência médica e se esse modelo atende as necessidades dessa população.</w:t>
            </w:r>
          </w:p>
        </w:tc>
      </w:tr>
      <w:tr w:rsidR="00B41D6A" w:rsidTr="004421C2">
        <w:tc>
          <w:tcPr>
            <w:tcW w:w="1843" w:type="dxa"/>
          </w:tcPr>
          <w:p w:rsidR="00B41D6A" w:rsidRPr="00C419A7" w:rsidRDefault="00B41D6A" w:rsidP="009C3C29">
            <w:pPr>
              <w:jc w:val="center"/>
              <w:rPr>
                <w:rFonts w:ascii="Times New Roman" w:hAnsi="Times New Roman" w:cs="Times New Roman"/>
                <w:b/>
              </w:rPr>
            </w:pPr>
            <w:r w:rsidRPr="00C419A7">
              <w:rPr>
                <w:rFonts w:ascii="Times New Roman" w:hAnsi="Times New Roman" w:cs="Times New Roman"/>
                <w:b/>
              </w:rPr>
              <w:t>Instituição financiadora da pesquisa e declaração de conflito de interesse</w:t>
            </w:r>
          </w:p>
        </w:tc>
        <w:tc>
          <w:tcPr>
            <w:tcW w:w="7938" w:type="dxa"/>
          </w:tcPr>
          <w:p w:rsidR="00B41D6A" w:rsidRDefault="00B41D6A" w:rsidP="00C419A7">
            <w:pPr>
              <w:rPr>
                <w:rFonts w:ascii="Times New Roman" w:hAnsi="Times New Roman" w:cs="Times New Roman"/>
              </w:rPr>
            </w:pPr>
          </w:p>
          <w:p w:rsidR="00B41D6A" w:rsidRDefault="00B41D6A" w:rsidP="008613B5">
            <w:pPr>
              <w:jc w:val="both"/>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Conselho Nacional de Desenvolvimento Científico e Tecnológico (CNPq) e Fundação de Amparo à Pesquisa do Estado de Minas Gerais (FAPEMIG).</w:t>
            </w:r>
          </w:p>
          <w:p w:rsidR="00B41D6A" w:rsidRDefault="00B41D6A" w:rsidP="008613B5">
            <w:pPr>
              <w:jc w:val="both"/>
              <w:rPr>
                <w:rFonts w:ascii="Times New Roman" w:eastAsia="Times New Roman" w:hAnsi="Times New Roman" w:cs="Times New Roman"/>
                <w:color w:val="000000"/>
                <w:lang w:eastAsia="es-CO"/>
              </w:rPr>
            </w:pPr>
          </w:p>
          <w:p w:rsidR="00B41D6A" w:rsidRDefault="00B41D6A" w:rsidP="008613B5">
            <w:pPr>
              <w:jc w:val="both"/>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Nenhum conflito de interesse.</w:t>
            </w:r>
          </w:p>
          <w:p w:rsidR="00B41D6A" w:rsidRPr="00C419A7" w:rsidRDefault="00B41D6A" w:rsidP="00C419A7">
            <w:pPr>
              <w:jc w:val="center"/>
              <w:rPr>
                <w:rFonts w:ascii="Times New Roman" w:hAnsi="Times New Roman" w:cs="Times New Roman"/>
              </w:rPr>
            </w:pPr>
          </w:p>
        </w:tc>
      </w:tr>
    </w:tbl>
    <w:p w:rsidR="00B41D6A" w:rsidRDefault="00B41D6A" w:rsidP="00C419A7"/>
    <w:p w:rsidR="005802C8" w:rsidRDefault="005802C8" w:rsidP="00C419A7"/>
    <w:p w:rsidR="005802C8" w:rsidRDefault="005802C8" w:rsidP="00C419A7"/>
    <w:tbl>
      <w:tblPr>
        <w:tblStyle w:val="Tabelacomgrade"/>
        <w:tblW w:w="9781" w:type="dxa"/>
        <w:tblInd w:w="-34" w:type="dxa"/>
        <w:tblLayout w:type="fixed"/>
        <w:tblLook w:val="04A0" w:firstRow="1" w:lastRow="0" w:firstColumn="1" w:lastColumn="0" w:noHBand="0" w:noVBand="1"/>
      </w:tblPr>
      <w:tblGrid>
        <w:gridCol w:w="1843"/>
        <w:gridCol w:w="7938"/>
      </w:tblGrid>
      <w:tr w:rsidR="00B41D6A" w:rsidTr="004421C2">
        <w:tc>
          <w:tcPr>
            <w:tcW w:w="9781" w:type="dxa"/>
            <w:gridSpan w:val="2"/>
            <w:shd w:val="clear" w:color="auto" w:fill="BFBFBF" w:themeFill="background1" w:themeFillShade="BF"/>
          </w:tcPr>
          <w:p w:rsidR="00B41D6A" w:rsidRPr="00B13318" w:rsidRDefault="00B41D6A" w:rsidP="00146646">
            <w:pPr>
              <w:jc w:val="center"/>
              <w:rPr>
                <w:rFonts w:ascii="Times New Roman" w:hAnsi="Times New Roman" w:cs="Times New Roman"/>
              </w:rPr>
            </w:pPr>
            <w:r w:rsidRPr="004003A1">
              <w:rPr>
                <w:rFonts w:cstheme="minorHAnsi"/>
                <w:b/>
                <w:sz w:val="21"/>
                <w:szCs w:val="21"/>
              </w:rPr>
              <w:t xml:space="preserve">Pôsteres - Sessão </w:t>
            </w:r>
            <w:proofErr w:type="gramStart"/>
            <w:r w:rsidRPr="004003A1">
              <w:rPr>
                <w:rFonts w:cstheme="minorHAnsi"/>
                <w:b/>
                <w:sz w:val="21"/>
                <w:szCs w:val="21"/>
              </w:rPr>
              <w:t>3</w:t>
            </w:r>
            <w:proofErr w:type="gramEnd"/>
            <w:r w:rsidRPr="004003A1">
              <w:rPr>
                <w:rFonts w:cstheme="minorHAnsi"/>
                <w:b/>
                <w:sz w:val="21"/>
                <w:szCs w:val="21"/>
              </w:rPr>
              <w:t>: Relação Público-Privada em Saúde e Saúde Suplementar</w:t>
            </w:r>
          </w:p>
        </w:tc>
      </w:tr>
      <w:tr w:rsidR="00B41D6A" w:rsidTr="004421C2">
        <w:tc>
          <w:tcPr>
            <w:tcW w:w="9781" w:type="dxa"/>
            <w:gridSpan w:val="2"/>
            <w:shd w:val="clear" w:color="auto" w:fill="BFBFBF" w:themeFill="background1" w:themeFillShade="BF"/>
          </w:tcPr>
          <w:p w:rsidR="00B41D6A" w:rsidRDefault="00B41D6A" w:rsidP="00146646">
            <w:pPr>
              <w:jc w:val="center"/>
              <w:rPr>
                <w:rFonts w:ascii="Times New Roman" w:hAnsi="Times New Roman" w:cs="Times New Roman"/>
              </w:rPr>
            </w:pPr>
            <w:r w:rsidRPr="00B13318">
              <w:rPr>
                <w:rFonts w:ascii="Times New Roman" w:hAnsi="Times New Roman" w:cs="Times New Roman"/>
              </w:rPr>
              <w:t>Autor</w:t>
            </w:r>
            <w:r>
              <w:rPr>
                <w:rFonts w:ascii="Times New Roman" w:hAnsi="Times New Roman" w:cs="Times New Roman"/>
              </w:rPr>
              <w:t>(</w:t>
            </w:r>
            <w:r w:rsidRPr="00B13318">
              <w:rPr>
                <w:rFonts w:ascii="Times New Roman" w:hAnsi="Times New Roman" w:cs="Times New Roman"/>
              </w:rPr>
              <w:t>es</w:t>
            </w:r>
            <w:r>
              <w:rPr>
                <w:rFonts w:ascii="Times New Roman" w:hAnsi="Times New Roman" w:cs="Times New Roman"/>
              </w:rPr>
              <w:t>) e instituição(</w:t>
            </w:r>
            <w:proofErr w:type="spellStart"/>
            <w:r>
              <w:rPr>
                <w:rFonts w:ascii="Times New Roman" w:hAnsi="Times New Roman" w:cs="Times New Roman"/>
              </w:rPr>
              <w:t>ões</w:t>
            </w:r>
            <w:proofErr w:type="spellEnd"/>
            <w:r>
              <w:rPr>
                <w:rFonts w:ascii="Times New Roman" w:hAnsi="Times New Roman" w:cs="Times New Roman"/>
              </w:rPr>
              <w:t>):</w:t>
            </w:r>
          </w:p>
          <w:p w:rsidR="00B41D6A" w:rsidRDefault="00B41D6A" w:rsidP="00146646">
            <w:pPr>
              <w:jc w:val="center"/>
              <w:rPr>
                <w:rFonts w:ascii="Times New Roman" w:hAnsi="Times New Roman" w:cs="Times New Roman"/>
              </w:rPr>
            </w:pPr>
          </w:p>
          <w:p w:rsidR="00B41D6A" w:rsidRPr="00F540AE" w:rsidRDefault="00B41D6A" w:rsidP="00146646">
            <w:pPr>
              <w:jc w:val="center"/>
              <w:rPr>
                <w:rFonts w:ascii="Times New Roman" w:hAnsi="Times New Roman" w:cs="Times New Roman"/>
              </w:rPr>
            </w:pPr>
            <w:r w:rsidRPr="00F540AE">
              <w:rPr>
                <w:rFonts w:ascii="Times New Roman" w:hAnsi="Times New Roman" w:cs="Times New Roman"/>
                <w:szCs w:val="21"/>
                <w:u w:val="single"/>
              </w:rPr>
              <w:t>Rosália Oliveira da Silva</w:t>
            </w:r>
            <w:r w:rsidRPr="00F540AE">
              <w:rPr>
                <w:rFonts w:ascii="Times New Roman" w:hAnsi="Times New Roman" w:cs="Times New Roman"/>
                <w:szCs w:val="21"/>
              </w:rPr>
              <w:t xml:space="preserve"> – UEPB; Odilon Avelino da Cunha – UEPB.</w:t>
            </w:r>
          </w:p>
        </w:tc>
      </w:tr>
      <w:tr w:rsidR="00B41D6A" w:rsidTr="004421C2">
        <w:tc>
          <w:tcPr>
            <w:tcW w:w="1843" w:type="dxa"/>
          </w:tcPr>
          <w:p w:rsidR="00B41D6A" w:rsidRPr="004421C2" w:rsidRDefault="00B41D6A" w:rsidP="00F540AE">
            <w:pPr>
              <w:jc w:val="center"/>
              <w:rPr>
                <w:rFonts w:ascii="Times New Roman" w:hAnsi="Times New Roman" w:cs="Times New Roman"/>
                <w:b/>
              </w:rPr>
            </w:pPr>
            <w:r w:rsidRPr="004421C2">
              <w:rPr>
                <w:rFonts w:ascii="Times New Roman" w:hAnsi="Times New Roman" w:cs="Times New Roman"/>
                <w:b/>
              </w:rPr>
              <w:t>Título</w:t>
            </w:r>
          </w:p>
        </w:tc>
        <w:tc>
          <w:tcPr>
            <w:tcW w:w="7938" w:type="dxa"/>
          </w:tcPr>
          <w:p w:rsidR="00B41D6A" w:rsidRDefault="00B41D6A" w:rsidP="001C365F">
            <w:pPr>
              <w:rPr>
                <w:rFonts w:ascii="Times New Roman" w:hAnsi="Times New Roman" w:cs="Times New Roman"/>
                <w:color w:val="0D0D0D" w:themeColor="text1" w:themeTint="F2"/>
              </w:rPr>
            </w:pPr>
            <w:r>
              <w:rPr>
                <w:rFonts w:ascii="Times New Roman" w:hAnsi="Times New Roman" w:cs="Times New Roman"/>
                <w:color w:val="0D0D0D" w:themeColor="text1" w:themeTint="F2"/>
              </w:rPr>
              <w:t>DESAFIOS E PERSPECTIVAS DA SAÚDE PÚBLICA EM PATOS: ESTUDO DE CASO COM USUÁRIOS DO SERVIÇO NA CIDADE</w:t>
            </w:r>
          </w:p>
          <w:p w:rsidR="00B41D6A" w:rsidRPr="00DC6789" w:rsidRDefault="00B41D6A" w:rsidP="00F3082F">
            <w:pPr>
              <w:jc w:val="both"/>
              <w:rPr>
                <w:rFonts w:ascii="Times New Roman" w:eastAsia="Times New Roman" w:hAnsi="Times New Roman" w:cs="Times New Roman"/>
                <w:color w:val="000000"/>
                <w:lang w:eastAsia="es-CO"/>
              </w:rPr>
            </w:pPr>
          </w:p>
        </w:tc>
      </w:tr>
      <w:tr w:rsidR="00B41D6A" w:rsidTr="0019756A">
        <w:tc>
          <w:tcPr>
            <w:tcW w:w="1843" w:type="dxa"/>
          </w:tcPr>
          <w:p w:rsidR="00B41D6A" w:rsidRPr="004421C2" w:rsidRDefault="00B41D6A" w:rsidP="00F540AE">
            <w:pPr>
              <w:jc w:val="center"/>
              <w:rPr>
                <w:rFonts w:ascii="Times New Roman" w:hAnsi="Times New Roman" w:cs="Times New Roman"/>
                <w:b/>
              </w:rPr>
            </w:pPr>
            <w:r w:rsidRPr="004421C2">
              <w:rPr>
                <w:rFonts w:ascii="Times New Roman" w:hAnsi="Times New Roman" w:cs="Times New Roman"/>
                <w:b/>
              </w:rPr>
              <w:t>Palavras-chave</w:t>
            </w:r>
          </w:p>
        </w:tc>
        <w:tc>
          <w:tcPr>
            <w:tcW w:w="7938" w:type="dxa"/>
            <w:vAlign w:val="center"/>
          </w:tcPr>
          <w:p w:rsidR="00B41D6A" w:rsidRDefault="00B41D6A" w:rsidP="008613B5">
            <w:pPr>
              <w:jc w:val="both"/>
              <w:rPr>
                <w:rFonts w:ascii="Times New Roman" w:hAnsi="Times New Roman" w:cs="Times New Roman"/>
                <w:color w:val="000000" w:themeColor="text1"/>
              </w:rPr>
            </w:pPr>
            <w:r>
              <w:rPr>
                <w:rFonts w:ascii="Times New Roman" w:hAnsi="Times New Roman" w:cs="Times New Roman"/>
                <w:color w:val="000000" w:themeColor="text1"/>
              </w:rPr>
              <w:t xml:space="preserve">Saúde. Serviços. Pública. População. Patos. </w:t>
            </w:r>
          </w:p>
          <w:p w:rsidR="00B41D6A" w:rsidRPr="00DC6789" w:rsidRDefault="00B41D6A" w:rsidP="008613B5">
            <w:pPr>
              <w:jc w:val="both"/>
              <w:rPr>
                <w:rFonts w:ascii="Times New Roman" w:eastAsia="Times New Roman" w:hAnsi="Times New Roman" w:cs="Times New Roman"/>
                <w:color w:val="000000"/>
                <w:lang w:eastAsia="es-CO"/>
              </w:rPr>
            </w:pPr>
          </w:p>
        </w:tc>
      </w:tr>
      <w:tr w:rsidR="00B41D6A" w:rsidTr="004421C2">
        <w:tc>
          <w:tcPr>
            <w:tcW w:w="1843" w:type="dxa"/>
          </w:tcPr>
          <w:p w:rsidR="00B41D6A" w:rsidRDefault="00B41D6A" w:rsidP="00F540AE">
            <w:pPr>
              <w:jc w:val="center"/>
              <w:rPr>
                <w:rFonts w:ascii="Times New Roman" w:hAnsi="Times New Roman" w:cs="Times New Roman"/>
                <w:b/>
              </w:rPr>
            </w:pPr>
          </w:p>
          <w:p w:rsidR="00B41D6A" w:rsidRDefault="00B41D6A" w:rsidP="00F540AE">
            <w:pPr>
              <w:jc w:val="center"/>
              <w:rPr>
                <w:rFonts w:ascii="Times New Roman" w:hAnsi="Times New Roman" w:cs="Times New Roman"/>
                <w:b/>
              </w:rPr>
            </w:pPr>
          </w:p>
          <w:p w:rsidR="00B41D6A" w:rsidRDefault="00B41D6A" w:rsidP="00F540AE">
            <w:pPr>
              <w:jc w:val="center"/>
              <w:rPr>
                <w:rFonts w:ascii="Times New Roman" w:hAnsi="Times New Roman" w:cs="Times New Roman"/>
                <w:b/>
              </w:rPr>
            </w:pPr>
          </w:p>
          <w:p w:rsidR="00B41D6A" w:rsidRDefault="00B41D6A" w:rsidP="00F540AE">
            <w:pPr>
              <w:jc w:val="center"/>
              <w:rPr>
                <w:rFonts w:ascii="Times New Roman" w:hAnsi="Times New Roman" w:cs="Times New Roman"/>
                <w:b/>
              </w:rPr>
            </w:pPr>
          </w:p>
          <w:p w:rsidR="00B41D6A" w:rsidRDefault="00B41D6A" w:rsidP="00F540AE">
            <w:pPr>
              <w:jc w:val="center"/>
              <w:rPr>
                <w:rFonts w:ascii="Times New Roman" w:hAnsi="Times New Roman" w:cs="Times New Roman"/>
                <w:b/>
              </w:rPr>
            </w:pPr>
          </w:p>
          <w:p w:rsidR="00B41D6A" w:rsidRDefault="00B41D6A" w:rsidP="00F540AE">
            <w:pPr>
              <w:jc w:val="center"/>
              <w:rPr>
                <w:rFonts w:ascii="Times New Roman" w:hAnsi="Times New Roman" w:cs="Times New Roman"/>
                <w:b/>
              </w:rPr>
            </w:pPr>
          </w:p>
          <w:p w:rsidR="00B41D6A" w:rsidRDefault="00B41D6A" w:rsidP="00F540AE">
            <w:pPr>
              <w:jc w:val="center"/>
              <w:rPr>
                <w:rFonts w:ascii="Times New Roman" w:hAnsi="Times New Roman" w:cs="Times New Roman"/>
                <w:b/>
              </w:rPr>
            </w:pPr>
          </w:p>
          <w:p w:rsidR="00B41D6A" w:rsidRDefault="00B41D6A" w:rsidP="00F540AE">
            <w:pPr>
              <w:jc w:val="center"/>
              <w:rPr>
                <w:rFonts w:ascii="Times New Roman" w:hAnsi="Times New Roman" w:cs="Times New Roman"/>
                <w:b/>
              </w:rPr>
            </w:pPr>
          </w:p>
          <w:p w:rsidR="00B41D6A" w:rsidRDefault="00B41D6A" w:rsidP="00F540AE">
            <w:pPr>
              <w:jc w:val="center"/>
              <w:rPr>
                <w:rFonts w:ascii="Times New Roman" w:hAnsi="Times New Roman" w:cs="Times New Roman"/>
                <w:b/>
              </w:rPr>
            </w:pPr>
          </w:p>
          <w:p w:rsidR="00B41D6A" w:rsidRPr="004421C2" w:rsidRDefault="00B41D6A" w:rsidP="00F540AE">
            <w:pPr>
              <w:jc w:val="center"/>
              <w:rPr>
                <w:rFonts w:ascii="Times New Roman" w:hAnsi="Times New Roman" w:cs="Times New Roman"/>
                <w:b/>
              </w:rPr>
            </w:pPr>
            <w:r w:rsidRPr="004421C2">
              <w:rPr>
                <w:rFonts w:ascii="Times New Roman" w:hAnsi="Times New Roman" w:cs="Times New Roman"/>
                <w:b/>
              </w:rPr>
              <w:t>Resumo</w:t>
            </w:r>
          </w:p>
        </w:tc>
        <w:tc>
          <w:tcPr>
            <w:tcW w:w="7938" w:type="dxa"/>
          </w:tcPr>
          <w:p w:rsidR="00B41D6A" w:rsidRDefault="00B41D6A" w:rsidP="008613B5">
            <w:pPr>
              <w:jc w:val="both"/>
              <w:rPr>
                <w:rFonts w:ascii="Times New Roman" w:hAnsi="Times New Roman" w:cs="Times New Roman"/>
                <w:color w:val="000000" w:themeColor="text1"/>
              </w:rPr>
            </w:pPr>
            <w:r>
              <w:rPr>
                <w:rFonts w:ascii="Times New Roman" w:hAnsi="Times New Roman" w:cs="Times New Roman"/>
                <w:color w:val="000000" w:themeColor="text1"/>
              </w:rPr>
              <w:t>A saúde pública se constitui como uma política pública. É direito de todos e dever do Estado a promoção do amparo e</w:t>
            </w:r>
            <w:r>
              <w:rPr>
                <w:rFonts w:ascii="Times New Roman" w:hAnsi="Times New Roman" w:cs="Times New Roman"/>
                <w:color w:val="000000" w:themeColor="text1"/>
                <w:shd w:val="clear" w:color="auto" w:fill="FFFFFF"/>
              </w:rPr>
              <w:t xml:space="preserve"> das condições indispensáveis ao seu pleno exercício. Está prevista nos artigos 196 a 200 da Constituição Federal de 1988, onde também é destacado as atribuições do Sistema Único de Saúde – SUS. Diante desse contexto, a presente pesquisa traz como objeto central de estudo a saúde pública na cidade de Patos/PB. </w:t>
            </w:r>
            <w:r>
              <w:rPr>
                <w:rFonts w:ascii="Times New Roman" w:hAnsi="Times New Roman" w:cs="Times New Roman"/>
                <w:color w:val="000000" w:themeColor="text1"/>
              </w:rPr>
              <w:t xml:space="preserve">Visto a grande variedade de serviços de saúde que a cidade apresenta e a elevada procura por estes serviços buscou-se entender de que modo eles são ofertados a partir da visão das pessoas que os utilizam, se os mesmos correspondem às expectativas dos usuários e se atendem aos princípios básicos estabelecidos com a criação do SUS. A pesquisa apresenta-se na forma exploratória, visando proporcionar maior familiaridade com o problema, de modo a torna-lo compreensível. Envolve procedimentos técnicos e um levantamento de dados obtidos através da aplicação de um questionário com 120 pessoas residentes na cidade de Patos e sua população flutuante. Nesse contexto questionou-se </w:t>
            </w:r>
            <w:r>
              <w:rPr>
                <w:rFonts w:ascii="Times New Roman" w:hAnsi="Times New Roman" w:cs="Times New Roman"/>
                <w:b/>
                <w:color w:val="000000" w:themeColor="text1"/>
              </w:rPr>
              <w:t xml:space="preserve">Qual a opinião dos usuários em relação aos serviços? </w:t>
            </w:r>
            <w:r>
              <w:rPr>
                <w:rFonts w:ascii="Times New Roman" w:hAnsi="Times New Roman" w:cs="Times New Roman"/>
                <w:color w:val="000000" w:themeColor="text1"/>
              </w:rPr>
              <w:t>Os resultados obtidos mostram a insatisfação dos usuários em relação ao atendimento dos funcionários, o modo como às informações são passadas e o tempo de espera para serem atendidos. Com base nas respostas obtidas, identificaram-se ainda falhas no cumprimento dos princípios básicos estabelecidos pelo SUS, mostrando a necessidade de aprimoramento de tais princípios. A pesquisa ainda mostra que um dos principais motivos que levam as pessoas a buscarem os serviços de saúde na cidade são as diversas especialidades ofertadas de forma gratuita, a acessibilidade, a viabilidade, tendo em vista o nível de renda dessas pessoas, bem como a falta desses serviços em cidades mais próximas, embora os mesmos nem sempre atendam às necessidades dos usuários.</w:t>
            </w:r>
          </w:p>
          <w:p w:rsidR="00B41D6A" w:rsidRPr="00B41D6A" w:rsidRDefault="00B41D6A" w:rsidP="008613B5">
            <w:pPr>
              <w:jc w:val="both"/>
              <w:rPr>
                <w:rFonts w:ascii="Times New Roman" w:eastAsia="Times New Roman" w:hAnsi="Times New Roman" w:cs="Times New Roman"/>
              </w:rPr>
            </w:pPr>
          </w:p>
        </w:tc>
      </w:tr>
      <w:tr w:rsidR="00B41D6A" w:rsidTr="004421C2">
        <w:tc>
          <w:tcPr>
            <w:tcW w:w="1843" w:type="dxa"/>
          </w:tcPr>
          <w:p w:rsidR="00B41D6A" w:rsidRPr="00C419A7" w:rsidRDefault="00B41D6A" w:rsidP="00F540AE">
            <w:pPr>
              <w:jc w:val="center"/>
              <w:rPr>
                <w:rFonts w:ascii="Times New Roman" w:hAnsi="Times New Roman" w:cs="Times New Roman"/>
                <w:b/>
              </w:rPr>
            </w:pPr>
            <w:r w:rsidRPr="00C419A7">
              <w:rPr>
                <w:rFonts w:ascii="Times New Roman" w:hAnsi="Times New Roman" w:cs="Times New Roman"/>
                <w:b/>
              </w:rPr>
              <w:t>Instituição financiadora da pesquisa e declaração de conflito de interesse</w:t>
            </w:r>
          </w:p>
        </w:tc>
        <w:tc>
          <w:tcPr>
            <w:tcW w:w="7938" w:type="dxa"/>
          </w:tcPr>
          <w:p w:rsidR="00B41D6A" w:rsidRDefault="00B41D6A" w:rsidP="00C419A7">
            <w:pPr>
              <w:rPr>
                <w:rFonts w:ascii="Times New Roman" w:hAnsi="Times New Roman" w:cs="Times New Roman"/>
              </w:rPr>
            </w:pPr>
          </w:p>
          <w:p w:rsidR="00B41D6A" w:rsidRPr="00C419A7" w:rsidRDefault="00B41D6A" w:rsidP="00672FEC">
            <w:pPr>
              <w:jc w:val="both"/>
              <w:rPr>
                <w:rFonts w:ascii="Times New Roman" w:hAnsi="Times New Roman" w:cs="Times New Roman"/>
              </w:rPr>
            </w:pPr>
          </w:p>
        </w:tc>
      </w:tr>
    </w:tbl>
    <w:p w:rsidR="00B41D6A" w:rsidRDefault="00B41D6A" w:rsidP="00C419A7"/>
    <w:p w:rsidR="005802C8" w:rsidRDefault="005802C8" w:rsidP="00C419A7"/>
    <w:p w:rsidR="005802C8" w:rsidRDefault="005802C8" w:rsidP="00C419A7"/>
    <w:p w:rsidR="005802C8" w:rsidRDefault="005802C8" w:rsidP="00C419A7"/>
    <w:p w:rsidR="005802C8" w:rsidRDefault="005802C8" w:rsidP="00C419A7"/>
    <w:p w:rsidR="005802C8" w:rsidRDefault="005802C8" w:rsidP="00C419A7"/>
    <w:p w:rsidR="005802C8" w:rsidRDefault="005802C8" w:rsidP="00C419A7"/>
    <w:tbl>
      <w:tblPr>
        <w:tblStyle w:val="Tabelacomgrade"/>
        <w:tblW w:w="9781" w:type="dxa"/>
        <w:tblInd w:w="-34" w:type="dxa"/>
        <w:tblLayout w:type="fixed"/>
        <w:tblLook w:val="04A0" w:firstRow="1" w:lastRow="0" w:firstColumn="1" w:lastColumn="0" w:noHBand="0" w:noVBand="1"/>
      </w:tblPr>
      <w:tblGrid>
        <w:gridCol w:w="1843"/>
        <w:gridCol w:w="7938"/>
      </w:tblGrid>
      <w:tr w:rsidR="00B41D6A" w:rsidTr="004421C2">
        <w:tc>
          <w:tcPr>
            <w:tcW w:w="9781" w:type="dxa"/>
            <w:gridSpan w:val="2"/>
            <w:shd w:val="clear" w:color="auto" w:fill="BFBFBF" w:themeFill="background1" w:themeFillShade="BF"/>
          </w:tcPr>
          <w:p w:rsidR="00B41D6A" w:rsidRPr="00B13318" w:rsidRDefault="00B41D6A" w:rsidP="00146646">
            <w:pPr>
              <w:jc w:val="center"/>
              <w:rPr>
                <w:rFonts w:ascii="Times New Roman" w:hAnsi="Times New Roman" w:cs="Times New Roman"/>
              </w:rPr>
            </w:pPr>
            <w:r w:rsidRPr="004003A1">
              <w:rPr>
                <w:rFonts w:cstheme="minorHAnsi"/>
                <w:b/>
                <w:sz w:val="21"/>
                <w:szCs w:val="21"/>
              </w:rPr>
              <w:t xml:space="preserve">Pôsteres - Sessão </w:t>
            </w:r>
            <w:proofErr w:type="gramStart"/>
            <w:r w:rsidRPr="004003A1">
              <w:rPr>
                <w:rFonts w:cstheme="minorHAnsi"/>
                <w:b/>
                <w:sz w:val="21"/>
                <w:szCs w:val="21"/>
              </w:rPr>
              <w:t>3</w:t>
            </w:r>
            <w:proofErr w:type="gramEnd"/>
            <w:r w:rsidRPr="004003A1">
              <w:rPr>
                <w:rFonts w:cstheme="minorHAnsi"/>
                <w:b/>
                <w:sz w:val="21"/>
                <w:szCs w:val="21"/>
              </w:rPr>
              <w:t>: Relação Público-Privada em Saúde e Saúde Suplementar</w:t>
            </w:r>
          </w:p>
        </w:tc>
      </w:tr>
      <w:tr w:rsidR="00B41D6A" w:rsidTr="004421C2">
        <w:tc>
          <w:tcPr>
            <w:tcW w:w="9781" w:type="dxa"/>
            <w:gridSpan w:val="2"/>
            <w:shd w:val="clear" w:color="auto" w:fill="BFBFBF" w:themeFill="background1" w:themeFillShade="BF"/>
          </w:tcPr>
          <w:p w:rsidR="00B41D6A" w:rsidRDefault="00B41D6A" w:rsidP="00146646">
            <w:pPr>
              <w:jc w:val="center"/>
              <w:rPr>
                <w:rFonts w:ascii="Times New Roman" w:hAnsi="Times New Roman" w:cs="Times New Roman"/>
              </w:rPr>
            </w:pPr>
            <w:r w:rsidRPr="00B13318">
              <w:rPr>
                <w:rFonts w:ascii="Times New Roman" w:hAnsi="Times New Roman" w:cs="Times New Roman"/>
              </w:rPr>
              <w:t>Autor</w:t>
            </w:r>
            <w:r>
              <w:rPr>
                <w:rFonts w:ascii="Times New Roman" w:hAnsi="Times New Roman" w:cs="Times New Roman"/>
              </w:rPr>
              <w:t>(</w:t>
            </w:r>
            <w:r w:rsidRPr="00B13318">
              <w:rPr>
                <w:rFonts w:ascii="Times New Roman" w:hAnsi="Times New Roman" w:cs="Times New Roman"/>
              </w:rPr>
              <w:t>es</w:t>
            </w:r>
            <w:r>
              <w:rPr>
                <w:rFonts w:ascii="Times New Roman" w:hAnsi="Times New Roman" w:cs="Times New Roman"/>
              </w:rPr>
              <w:t>) e instituição(</w:t>
            </w:r>
            <w:proofErr w:type="spellStart"/>
            <w:r>
              <w:rPr>
                <w:rFonts w:ascii="Times New Roman" w:hAnsi="Times New Roman" w:cs="Times New Roman"/>
              </w:rPr>
              <w:t>ões</w:t>
            </w:r>
            <w:proofErr w:type="spellEnd"/>
            <w:r>
              <w:rPr>
                <w:rFonts w:ascii="Times New Roman" w:hAnsi="Times New Roman" w:cs="Times New Roman"/>
              </w:rPr>
              <w:t>):</w:t>
            </w:r>
          </w:p>
          <w:p w:rsidR="00B41D6A" w:rsidRDefault="00B41D6A" w:rsidP="00146646">
            <w:pPr>
              <w:jc w:val="center"/>
              <w:rPr>
                <w:rFonts w:ascii="Times New Roman" w:hAnsi="Times New Roman" w:cs="Times New Roman"/>
              </w:rPr>
            </w:pPr>
          </w:p>
          <w:p w:rsidR="00B41D6A" w:rsidRPr="002629D8" w:rsidRDefault="00B41D6A" w:rsidP="00146646">
            <w:pPr>
              <w:jc w:val="center"/>
              <w:rPr>
                <w:rFonts w:ascii="Times New Roman" w:hAnsi="Times New Roman" w:cs="Times New Roman"/>
              </w:rPr>
            </w:pPr>
            <w:r w:rsidRPr="002629D8">
              <w:rPr>
                <w:rFonts w:ascii="Times New Roman" w:hAnsi="Times New Roman" w:cs="Times New Roman"/>
                <w:szCs w:val="21"/>
                <w:u w:val="single"/>
              </w:rPr>
              <w:t>Adriana Ilha da Silva</w:t>
            </w:r>
            <w:r w:rsidRPr="002629D8">
              <w:rPr>
                <w:rFonts w:ascii="Times New Roman" w:hAnsi="Times New Roman" w:cs="Times New Roman"/>
                <w:szCs w:val="21"/>
              </w:rPr>
              <w:t>, Professora do Departamento de Serviço Social e do Programa de Pós-graduação em Saúde Coletiva, da UFES.</w:t>
            </w:r>
          </w:p>
        </w:tc>
      </w:tr>
      <w:tr w:rsidR="00B41D6A" w:rsidTr="004421C2">
        <w:tc>
          <w:tcPr>
            <w:tcW w:w="1843" w:type="dxa"/>
          </w:tcPr>
          <w:p w:rsidR="00B41D6A" w:rsidRPr="004421C2" w:rsidRDefault="00B41D6A" w:rsidP="002629D8">
            <w:pPr>
              <w:jc w:val="center"/>
              <w:rPr>
                <w:rFonts w:ascii="Times New Roman" w:hAnsi="Times New Roman" w:cs="Times New Roman"/>
                <w:b/>
              </w:rPr>
            </w:pPr>
            <w:r w:rsidRPr="004421C2">
              <w:rPr>
                <w:rFonts w:ascii="Times New Roman" w:hAnsi="Times New Roman" w:cs="Times New Roman"/>
                <w:b/>
              </w:rPr>
              <w:t>Título</w:t>
            </w:r>
          </w:p>
        </w:tc>
        <w:tc>
          <w:tcPr>
            <w:tcW w:w="7938" w:type="dxa"/>
          </w:tcPr>
          <w:p w:rsidR="00B41D6A" w:rsidRPr="005542C0" w:rsidRDefault="00B41D6A" w:rsidP="005542C0">
            <w:pPr>
              <w:rPr>
                <w:rFonts w:ascii="Times New Roman" w:eastAsia="Times New Roman" w:hAnsi="Times New Roman" w:cs="Times New Roman"/>
                <w:lang w:eastAsia="es-CO"/>
              </w:rPr>
            </w:pPr>
            <w:r w:rsidRPr="005542C0">
              <w:rPr>
                <w:rFonts w:ascii="Times New Roman" w:eastAsia="Times New Roman" w:hAnsi="Times New Roman" w:cs="Times New Roman"/>
                <w:lang w:eastAsia="es-CO"/>
              </w:rPr>
              <w:t xml:space="preserve"> Organizações Sociais de Saúde </w:t>
            </w:r>
            <w:r w:rsidRPr="00EE499A">
              <w:rPr>
                <w:rFonts w:ascii="Times New Roman" w:eastAsia="Times New Roman" w:hAnsi="Times New Roman" w:cs="Times New Roman"/>
                <w:lang w:eastAsia="es-CO"/>
              </w:rPr>
              <w:t>no</w:t>
            </w:r>
            <w:r w:rsidRPr="005542C0">
              <w:rPr>
                <w:rFonts w:ascii="Times New Roman" w:eastAsia="Times New Roman" w:hAnsi="Times New Roman" w:cs="Times New Roman"/>
                <w:lang w:eastAsia="es-CO"/>
              </w:rPr>
              <w:t xml:space="preserve"> âmbito do Estado e da acumulação capitalista</w:t>
            </w:r>
          </w:p>
          <w:p w:rsidR="00B41D6A" w:rsidRPr="00DC6789" w:rsidRDefault="00B41D6A" w:rsidP="00F3082F">
            <w:pPr>
              <w:jc w:val="both"/>
              <w:rPr>
                <w:rFonts w:ascii="Times New Roman" w:eastAsia="Times New Roman" w:hAnsi="Times New Roman" w:cs="Times New Roman"/>
                <w:color w:val="000000"/>
                <w:lang w:eastAsia="es-CO"/>
              </w:rPr>
            </w:pPr>
          </w:p>
        </w:tc>
      </w:tr>
      <w:tr w:rsidR="00B41D6A" w:rsidTr="0019756A">
        <w:tc>
          <w:tcPr>
            <w:tcW w:w="1843" w:type="dxa"/>
          </w:tcPr>
          <w:p w:rsidR="00B41D6A" w:rsidRPr="004421C2" w:rsidRDefault="00B41D6A" w:rsidP="002629D8">
            <w:pPr>
              <w:jc w:val="center"/>
              <w:rPr>
                <w:rFonts w:ascii="Times New Roman" w:hAnsi="Times New Roman" w:cs="Times New Roman"/>
                <w:b/>
              </w:rPr>
            </w:pPr>
            <w:r w:rsidRPr="004421C2">
              <w:rPr>
                <w:rFonts w:ascii="Times New Roman" w:hAnsi="Times New Roman" w:cs="Times New Roman"/>
                <w:b/>
              </w:rPr>
              <w:t>Palavras-chave</w:t>
            </w:r>
          </w:p>
        </w:tc>
        <w:tc>
          <w:tcPr>
            <w:tcW w:w="7938" w:type="dxa"/>
            <w:vAlign w:val="center"/>
          </w:tcPr>
          <w:p w:rsidR="00B41D6A" w:rsidRDefault="00B41D6A" w:rsidP="00C72528">
            <w:pPr>
              <w:jc w:val="both"/>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 SUS; Organizações Sociais de Saúde; Saúde Suplementar; Estado.</w:t>
            </w:r>
          </w:p>
          <w:p w:rsidR="00B41D6A" w:rsidRPr="00DC6789" w:rsidRDefault="00B41D6A" w:rsidP="008613B5">
            <w:pPr>
              <w:jc w:val="both"/>
              <w:rPr>
                <w:rFonts w:ascii="Times New Roman" w:eastAsia="Times New Roman" w:hAnsi="Times New Roman" w:cs="Times New Roman"/>
                <w:color w:val="000000"/>
                <w:lang w:eastAsia="es-CO"/>
              </w:rPr>
            </w:pPr>
          </w:p>
        </w:tc>
      </w:tr>
      <w:tr w:rsidR="00B41D6A" w:rsidTr="004421C2">
        <w:tc>
          <w:tcPr>
            <w:tcW w:w="1843" w:type="dxa"/>
          </w:tcPr>
          <w:p w:rsidR="00B41D6A" w:rsidRDefault="00B41D6A" w:rsidP="002629D8">
            <w:pPr>
              <w:jc w:val="center"/>
              <w:rPr>
                <w:rFonts w:ascii="Times New Roman" w:hAnsi="Times New Roman" w:cs="Times New Roman"/>
                <w:b/>
              </w:rPr>
            </w:pPr>
          </w:p>
          <w:p w:rsidR="00B41D6A" w:rsidRPr="004421C2" w:rsidRDefault="00B41D6A" w:rsidP="002629D8">
            <w:pPr>
              <w:jc w:val="center"/>
              <w:rPr>
                <w:rFonts w:ascii="Times New Roman" w:hAnsi="Times New Roman" w:cs="Times New Roman"/>
                <w:b/>
              </w:rPr>
            </w:pPr>
            <w:r w:rsidRPr="004421C2">
              <w:rPr>
                <w:rFonts w:ascii="Times New Roman" w:hAnsi="Times New Roman" w:cs="Times New Roman"/>
                <w:b/>
              </w:rPr>
              <w:t>Resumo</w:t>
            </w:r>
          </w:p>
        </w:tc>
        <w:tc>
          <w:tcPr>
            <w:tcW w:w="7938" w:type="dxa"/>
          </w:tcPr>
          <w:p w:rsidR="00B41D6A" w:rsidRDefault="00B41D6A" w:rsidP="0061294F">
            <w:pPr>
              <w:jc w:val="both"/>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 xml:space="preserve">O artigo faz uma abordagem crítica do fenômeno atual das Organizações Sociais no âmbito do Sistema Único de Saúde (SUS), sob a perspectiva do papel do Estado na acumulação capitalista. Pretende-se apresentar neste trabalho como essas tendências manifestam-se no desenvolvimento histórico da saúde no Brasil, considerando as funções de acumulação e legitimação inerentes ao papel do Estado, sobretudo a partir dos anos 2000. Tratou-se de uma pesquisa bibliográfica, de modo a entender a trajetória da saúde previdenciária e o modelo de capitalização, no Brasil, após a Revolução de 1930 até o Sistema Único de Saúde – SUS, com a introdução das Organizações Sociais de Saúde e a transferência de valor ao setor privado. Como resultado as </w:t>
            </w:r>
            <w:proofErr w:type="spellStart"/>
            <w:r>
              <w:rPr>
                <w:rFonts w:ascii="Times New Roman" w:eastAsia="Times New Roman" w:hAnsi="Times New Roman" w:cs="Times New Roman"/>
                <w:color w:val="000000"/>
                <w:lang w:eastAsia="es-CO"/>
              </w:rPr>
              <w:t>OSSs</w:t>
            </w:r>
            <w:proofErr w:type="spellEnd"/>
            <w:r>
              <w:rPr>
                <w:rFonts w:ascii="Times New Roman" w:eastAsia="Times New Roman" w:hAnsi="Times New Roman" w:cs="Times New Roman"/>
                <w:color w:val="000000"/>
                <w:lang w:eastAsia="es-CO"/>
              </w:rPr>
              <w:t xml:space="preserve"> são inseridas no sistema de saúde, porque o governo justifica sua ineficiência e insuficiência administrativa e financeira em estruturar toda a rede de atenção à saúde, pautados nos princípios do SUS. A atenção básica deveria ficar sob a responsabilidade das ações do Estado, enquanto a organização de serviços de saúde de maior complexidade (atividades hospitalares) deveria ser objeto de gestão indireta e autônoma do setor privado, através das Organizações Sociais (SANTOS; 2015). Assim, Entre 1998 e 2015 foram firmados 226 contratos de gestão e 978 termos aditivos com as dez maiores </w:t>
            </w:r>
            <w:proofErr w:type="spellStart"/>
            <w:r>
              <w:rPr>
                <w:rFonts w:ascii="Times New Roman" w:eastAsia="Times New Roman" w:hAnsi="Times New Roman" w:cs="Times New Roman"/>
                <w:color w:val="000000"/>
                <w:lang w:eastAsia="es-CO"/>
              </w:rPr>
              <w:t>OSSs</w:t>
            </w:r>
            <w:proofErr w:type="spellEnd"/>
            <w:r>
              <w:rPr>
                <w:rFonts w:ascii="Times New Roman" w:eastAsia="Times New Roman" w:hAnsi="Times New Roman" w:cs="Times New Roman"/>
                <w:color w:val="000000"/>
                <w:lang w:eastAsia="es-CO"/>
              </w:rPr>
              <w:t xml:space="preserve"> dos estados de São Paulo (173 contratos; 850 aditivos) e Rio de Janeiro (53 contratos; 128 aditivos). Conclui-se, com esta abordagem, que o governo brasileiro se direciona na defesa da racionalização dos serviços, com vistas a elevação da sua produtividade, e as Organizações Sociais de Saúde apresentam-se como uma estratégia estatal para a transferência de valor ao setor privado e filantrópico. E, por fim, essa dinâmica está sendo condicionada pelo processo de acumulação tende acerbar os antagonismos subjacentes às políticas sociais, dentre elas as políticas de saúde.</w:t>
            </w:r>
          </w:p>
          <w:p w:rsidR="00B41D6A" w:rsidRPr="00B41D6A" w:rsidRDefault="00B41D6A" w:rsidP="0061294F">
            <w:pPr>
              <w:jc w:val="both"/>
              <w:rPr>
                <w:rFonts w:ascii="Times New Roman" w:eastAsia="Times New Roman" w:hAnsi="Times New Roman" w:cs="Times New Roman"/>
              </w:rPr>
            </w:pPr>
          </w:p>
        </w:tc>
      </w:tr>
      <w:tr w:rsidR="00B41D6A" w:rsidTr="004421C2">
        <w:tc>
          <w:tcPr>
            <w:tcW w:w="1843" w:type="dxa"/>
          </w:tcPr>
          <w:p w:rsidR="00B41D6A" w:rsidRPr="00C419A7" w:rsidRDefault="00B41D6A" w:rsidP="002629D8">
            <w:pPr>
              <w:jc w:val="center"/>
              <w:rPr>
                <w:rFonts w:ascii="Times New Roman" w:hAnsi="Times New Roman" w:cs="Times New Roman"/>
                <w:b/>
              </w:rPr>
            </w:pPr>
            <w:r w:rsidRPr="00C419A7">
              <w:rPr>
                <w:rFonts w:ascii="Times New Roman" w:hAnsi="Times New Roman" w:cs="Times New Roman"/>
                <w:b/>
              </w:rPr>
              <w:t>Instituição financiadora da pesquisa e declaração de conflito de interesse</w:t>
            </w:r>
          </w:p>
        </w:tc>
        <w:tc>
          <w:tcPr>
            <w:tcW w:w="7938" w:type="dxa"/>
          </w:tcPr>
          <w:p w:rsidR="00B41D6A" w:rsidRDefault="00B41D6A" w:rsidP="00C419A7">
            <w:pPr>
              <w:rPr>
                <w:rFonts w:ascii="Times New Roman" w:hAnsi="Times New Roman" w:cs="Times New Roman"/>
              </w:rPr>
            </w:pPr>
          </w:p>
          <w:p w:rsidR="00B41D6A" w:rsidRDefault="00B41D6A" w:rsidP="005B23F2">
            <w:pPr>
              <w:rPr>
                <w:rFonts w:ascii="Times New Roman" w:eastAsia="Times New Roman" w:hAnsi="Times New Roman" w:cs="Times New Roman"/>
                <w:color w:val="000000"/>
                <w:lang w:eastAsia="es-CO"/>
              </w:rPr>
            </w:pPr>
          </w:p>
          <w:p w:rsidR="00B41D6A" w:rsidRDefault="00B41D6A" w:rsidP="00C72528">
            <w:pPr>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Instituição financiadora CNPq</w:t>
            </w:r>
          </w:p>
          <w:p w:rsidR="00B41D6A" w:rsidRPr="00C419A7" w:rsidRDefault="00B41D6A" w:rsidP="0061294F">
            <w:pPr>
              <w:rPr>
                <w:rFonts w:ascii="Times New Roman" w:hAnsi="Times New Roman" w:cs="Times New Roman"/>
              </w:rPr>
            </w:pPr>
          </w:p>
        </w:tc>
      </w:tr>
    </w:tbl>
    <w:p w:rsidR="00B41D6A" w:rsidRDefault="00B41D6A" w:rsidP="00C419A7"/>
    <w:p w:rsidR="005802C8" w:rsidRDefault="005802C8" w:rsidP="00C419A7"/>
    <w:p w:rsidR="005802C8" w:rsidRDefault="005802C8" w:rsidP="00C419A7"/>
    <w:p w:rsidR="005802C8" w:rsidRDefault="005802C8" w:rsidP="00C419A7"/>
    <w:p w:rsidR="005802C8" w:rsidRDefault="005802C8" w:rsidP="00C419A7"/>
    <w:p w:rsidR="005802C8" w:rsidRDefault="005802C8" w:rsidP="00C419A7"/>
    <w:tbl>
      <w:tblPr>
        <w:tblStyle w:val="Tabelacomgrade"/>
        <w:tblW w:w="9781" w:type="dxa"/>
        <w:tblInd w:w="-34" w:type="dxa"/>
        <w:tblLayout w:type="fixed"/>
        <w:tblLook w:val="04A0" w:firstRow="1" w:lastRow="0" w:firstColumn="1" w:lastColumn="0" w:noHBand="0" w:noVBand="1"/>
      </w:tblPr>
      <w:tblGrid>
        <w:gridCol w:w="1843"/>
        <w:gridCol w:w="7938"/>
      </w:tblGrid>
      <w:tr w:rsidR="00B41D6A" w:rsidTr="004421C2">
        <w:tc>
          <w:tcPr>
            <w:tcW w:w="9781" w:type="dxa"/>
            <w:gridSpan w:val="2"/>
            <w:shd w:val="clear" w:color="auto" w:fill="BFBFBF" w:themeFill="background1" w:themeFillShade="BF"/>
          </w:tcPr>
          <w:p w:rsidR="00B41D6A" w:rsidRPr="00B13318" w:rsidRDefault="00B41D6A" w:rsidP="00146646">
            <w:pPr>
              <w:jc w:val="center"/>
              <w:rPr>
                <w:rFonts w:ascii="Times New Roman" w:hAnsi="Times New Roman" w:cs="Times New Roman"/>
              </w:rPr>
            </w:pPr>
            <w:r w:rsidRPr="004003A1">
              <w:rPr>
                <w:rFonts w:cstheme="minorHAnsi"/>
                <w:b/>
                <w:sz w:val="21"/>
                <w:szCs w:val="21"/>
              </w:rPr>
              <w:t xml:space="preserve">Pôsteres - Sessão </w:t>
            </w:r>
            <w:proofErr w:type="gramStart"/>
            <w:r w:rsidRPr="004003A1">
              <w:rPr>
                <w:rFonts w:cstheme="minorHAnsi"/>
                <w:b/>
                <w:sz w:val="21"/>
                <w:szCs w:val="21"/>
              </w:rPr>
              <w:t>3</w:t>
            </w:r>
            <w:proofErr w:type="gramEnd"/>
            <w:r w:rsidRPr="004003A1">
              <w:rPr>
                <w:rFonts w:cstheme="minorHAnsi"/>
                <w:b/>
                <w:sz w:val="21"/>
                <w:szCs w:val="21"/>
              </w:rPr>
              <w:t>: Relação Público-Privada em Saúde e Saúde Suplementar</w:t>
            </w:r>
          </w:p>
        </w:tc>
      </w:tr>
      <w:tr w:rsidR="00B41D6A" w:rsidTr="004421C2">
        <w:tc>
          <w:tcPr>
            <w:tcW w:w="9781" w:type="dxa"/>
            <w:gridSpan w:val="2"/>
            <w:shd w:val="clear" w:color="auto" w:fill="BFBFBF" w:themeFill="background1" w:themeFillShade="BF"/>
          </w:tcPr>
          <w:p w:rsidR="00B41D6A" w:rsidRDefault="00B41D6A" w:rsidP="00146646">
            <w:pPr>
              <w:jc w:val="center"/>
              <w:rPr>
                <w:rFonts w:ascii="Times New Roman" w:hAnsi="Times New Roman" w:cs="Times New Roman"/>
              </w:rPr>
            </w:pPr>
            <w:r w:rsidRPr="00B13318">
              <w:rPr>
                <w:rFonts w:ascii="Times New Roman" w:hAnsi="Times New Roman" w:cs="Times New Roman"/>
              </w:rPr>
              <w:t>Autor</w:t>
            </w:r>
            <w:r>
              <w:rPr>
                <w:rFonts w:ascii="Times New Roman" w:hAnsi="Times New Roman" w:cs="Times New Roman"/>
              </w:rPr>
              <w:t>(</w:t>
            </w:r>
            <w:r w:rsidRPr="00B13318">
              <w:rPr>
                <w:rFonts w:ascii="Times New Roman" w:hAnsi="Times New Roman" w:cs="Times New Roman"/>
              </w:rPr>
              <w:t>es</w:t>
            </w:r>
            <w:r>
              <w:rPr>
                <w:rFonts w:ascii="Times New Roman" w:hAnsi="Times New Roman" w:cs="Times New Roman"/>
              </w:rPr>
              <w:t>) e instituição(</w:t>
            </w:r>
            <w:proofErr w:type="spellStart"/>
            <w:r>
              <w:rPr>
                <w:rFonts w:ascii="Times New Roman" w:hAnsi="Times New Roman" w:cs="Times New Roman"/>
              </w:rPr>
              <w:t>ões</w:t>
            </w:r>
            <w:proofErr w:type="spellEnd"/>
            <w:r>
              <w:rPr>
                <w:rFonts w:ascii="Times New Roman" w:hAnsi="Times New Roman" w:cs="Times New Roman"/>
              </w:rPr>
              <w:t>):</w:t>
            </w:r>
          </w:p>
          <w:p w:rsidR="00B41D6A" w:rsidRDefault="00B41D6A" w:rsidP="00146646">
            <w:pPr>
              <w:jc w:val="center"/>
              <w:rPr>
                <w:rFonts w:ascii="Times New Roman" w:hAnsi="Times New Roman" w:cs="Times New Roman"/>
              </w:rPr>
            </w:pPr>
          </w:p>
          <w:p w:rsidR="00B41D6A" w:rsidRPr="00984C42" w:rsidRDefault="00B41D6A" w:rsidP="00146646">
            <w:pPr>
              <w:jc w:val="center"/>
              <w:rPr>
                <w:rFonts w:ascii="Times New Roman" w:hAnsi="Times New Roman" w:cs="Times New Roman"/>
              </w:rPr>
            </w:pPr>
            <w:r w:rsidRPr="00984C42">
              <w:rPr>
                <w:rFonts w:ascii="Times New Roman" w:hAnsi="Times New Roman" w:cs="Times New Roman"/>
                <w:szCs w:val="21"/>
                <w:u w:val="single"/>
              </w:rPr>
              <w:t>Helen da Silva Mattos</w:t>
            </w:r>
            <w:r w:rsidRPr="00984C42">
              <w:rPr>
                <w:rFonts w:ascii="Times New Roman" w:hAnsi="Times New Roman" w:cs="Times New Roman"/>
                <w:szCs w:val="21"/>
              </w:rPr>
              <w:t xml:space="preserve">. Aluna do Curso de Especialização em Economia da Saúde - UFG/MS/IPEA; </w:t>
            </w:r>
            <w:proofErr w:type="spellStart"/>
            <w:r w:rsidRPr="00984C42">
              <w:rPr>
                <w:rFonts w:ascii="Times New Roman" w:hAnsi="Times New Roman" w:cs="Times New Roman"/>
                <w:szCs w:val="21"/>
              </w:rPr>
              <w:t>Adelia</w:t>
            </w:r>
            <w:proofErr w:type="spellEnd"/>
            <w:r w:rsidRPr="00984C42">
              <w:rPr>
                <w:rFonts w:ascii="Times New Roman" w:hAnsi="Times New Roman" w:cs="Times New Roman"/>
                <w:szCs w:val="21"/>
              </w:rPr>
              <w:t xml:space="preserve"> </w:t>
            </w:r>
            <w:proofErr w:type="spellStart"/>
            <w:r w:rsidRPr="00984C42">
              <w:rPr>
                <w:rFonts w:ascii="Times New Roman" w:hAnsi="Times New Roman" w:cs="Times New Roman"/>
                <w:szCs w:val="21"/>
              </w:rPr>
              <w:t>Marcal</w:t>
            </w:r>
            <w:proofErr w:type="spellEnd"/>
            <w:r w:rsidRPr="00984C42">
              <w:rPr>
                <w:rFonts w:ascii="Times New Roman" w:hAnsi="Times New Roman" w:cs="Times New Roman"/>
                <w:szCs w:val="21"/>
              </w:rPr>
              <w:t xml:space="preserve"> dos Santos, professora do Curso de Especialização em Economia da Saúde - UFG/MS/IPEA.</w:t>
            </w:r>
          </w:p>
        </w:tc>
      </w:tr>
      <w:tr w:rsidR="00B41D6A" w:rsidTr="004421C2">
        <w:tc>
          <w:tcPr>
            <w:tcW w:w="1843" w:type="dxa"/>
          </w:tcPr>
          <w:p w:rsidR="00B41D6A" w:rsidRPr="004421C2" w:rsidRDefault="00B41D6A" w:rsidP="00984C42">
            <w:pPr>
              <w:jc w:val="center"/>
              <w:rPr>
                <w:rFonts w:ascii="Times New Roman" w:hAnsi="Times New Roman" w:cs="Times New Roman"/>
                <w:b/>
              </w:rPr>
            </w:pPr>
            <w:r w:rsidRPr="004421C2">
              <w:rPr>
                <w:rFonts w:ascii="Times New Roman" w:hAnsi="Times New Roman" w:cs="Times New Roman"/>
                <w:b/>
              </w:rPr>
              <w:t>Título</w:t>
            </w:r>
          </w:p>
        </w:tc>
        <w:tc>
          <w:tcPr>
            <w:tcW w:w="7938" w:type="dxa"/>
          </w:tcPr>
          <w:p w:rsidR="00B41D6A" w:rsidRDefault="00B41D6A" w:rsidP="00986D35">
            <w:pPr>
              <w:jc w:val="both"/>
              <w:rPr>
                <w:rFonts w:ascii="Times New Roman" w:hAnsi="Times New Roman" w:cs="Times New Roman"/>
              </w:rPr>
            </w:pPr>
            <w:r>
              <w:rPr>
                <w:rFonts w:ascii="Times New Roman" w:hAnsi="Times New Roman" w:cs="Times New Roman"/>
              </w:rPr>
              <w:t>Hospitais Municipais Gerenciados por Organizações Sociais de Saúde e pela Administração Direta: Uma comparação sob o prisma da eficiência.</w:t>
            </w:r>
          </w:p>
          <w:p w:rsidR="00B41D6A" w:rsidRPr="00DC6789" w:rsidRDefault="00B41D6A" w:rsidP="00F3082F">
            <w:pPr>
              <w:jc w:val="both"/>
              <w:rPr>
                <w:rFonts w:ascii="Times New Roman" w:eastAsia="Times New Roman" w:hAnsi="Times New Roman" w:cs="Times New Roman"/>
                <w:color w:val="000000"/>
                <w:lang w:eastAsia="es-CO"/>
              </w:rPr>
            </w:pPr>
          </w:p>
        </w:tc>
      </w:tr>
      <w:tr w:rsidR="00B41D6A" w:rsidTr="0019756A">
        <w:tc>
          <w:tcPr>
            <w:tcW w:w="1843" w:type="dxa"/>
          </w:tcPr>
          <w:p w:rsidR="00B41D6A" w:rsidRPr="004421C2" w:rsidRDefault="00B41D6A" w:rsidP="00984C42">
            <w:pPr>
              <w:jc w:val="center"/>
              <w:rPr>
                <w:rFonts w:ascii="Times New Roman" w:hAnsi="Times New Roman" w:cs="Times New Roman"/>
                <w:b/>
              </w:rPr>
            </w:pPr>
            <w:r w:rsidRPr="004421C2">
              <w:rPr>
                <w:rFonts w:ascii="Times New Roman" w:hAnsi="Times New Roman" w:cs="Times New Roman"/>
                <w:b/>
              </w:rPr>
              <w:t>Palavras-chave</w:t>
            </w:r>
          </w:p>
        </w:tc>
        <w:tc>
          <w:tcPr>
            <w:tcW w:w="7938" w:type="dxa"/>
            <w:vAlign w:val="center"/>
          </w:tcPr>
          <w:p w:rsidR="00B41D6A" w:rsidRDefault="00B41D6A" w:rsidP="00C72528">
            <w:pPr>
              <w:jc w:val="both"/>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 </w:t>
            </w:r>
            <w:r>
              <w:rPr>
                <w:rFonts w:ascii="Times New Roman" w:hAnsi="Times New Roman" w:cs="Times New Roman"/>
              </w:rPr>
              <w:t xml:space="preserve">Organização Social de Saúde; Gestão pública de Saúde; </w:t>
            </w:r>
            <w:r>
              <w:rPr>
                <w:rFonts w:ascii="Times New Roman" w:hAnsi="Times New Roman" w:cs="Times New Roman"/>
                <w:color w:val="000000"/>
                <w:shd w:val="clear" w:color="auto" w:fill="FFFFFF"/>
              </w:rPr>
              <w:t>Relação público-privado no setor Saúde; Eficiência; Gestão Hospitalar.</w:t>
            </w:r>
          </w:p>
          <w:p w:rsidR="00B41D6A" w:rsidRPr="00DC6789" w:rsidRDefault="00B41D6A" w:rsidP="008613B5">
            <w:pPr>
              <w:jc w:val="both"/>
              <w:rPr>
                <w:rFonts w:ascii="Times New Roman" w:eastAsia="Times New Roman" w:hAnsi="Times New Roman" w:cs="Times New Roman"/>
                <w:color w:val="000000"/>
                <w:lang w:eastAsia="es-CO"/>
              </w:rPr>
            </w:pPr>
          </w:p>
        </w:tc>
      </w:tr>
      <w:tr w:rsidR="00B41D6A" w:rsidTr="004421C2">
        <w:tc>
          <w:tcPr>
            <w:tcW w:w="1843" w:type="dxa"/>
          </w:tcPr>
          <w:p w:rsidR="00B41D6A" w:rsidRDefault="00B41D6A" w:rsidP="00984C42">
            <w:pPr>
              <w:jc w:val="center"/>
              <w:rPr>
                <w:rFonts w:ascii="Times New Roman" w:hAnsi="Times New Roman" w:cs="Times New Roman"/>
                <w:b/>
              </w:rPr>
            </w:pPr>
          </w:p>
          <w:p w:rsidR="00B41D6A" w:rsidRDefault="00B41D6A" w:rsidP="00984C42">
            <w:pPr>
              <w:jc w:val="center"/>
              <w:rPr>
                <w:rFonts w:ascii="Times New Roman" w:hAnsi="Times New Roman" w:cs="Times New Roman"/>
                <w:b/>
              </w:rPr>
            </w:pPr>
          </w:p>
          <w:p w:rsidR="00B41D6A" w:rsidRDefault="00B41D6A" w:rsidP="00984C42">
            <w:pPr>
              <w:jc w:val="center"/>
              <w:rPr>
                <w:rFonts w:ascii="Times New Roman" w:hAnsi="Times New Roman" w:cs="Times New Roman"/>
                <w:b/>
              </w:rPr>
            </w:pPr>
          </w:p>
          <w:p w:rsidR="00B41D6A" w:rsidRDefault="00B41D6A" w:rsidP="00984C42">
            <w:pPr>
              <w:jc w:val="center"/>
              <w:rPr>
                <w:rFonts w:ascii="Times New Roman" w:hAnsi="Times New Roman" w:cs="Times New Roman"/>
                <w:b/>
              </w:rPr>
            </w:pPr>
          </w:p>
          <w:p w:rsidR="00B41D6A" w:rsidRDefault="00B41D6A" w:rsidP="00984C42">
            <w:pPr>
              <w:jc w:val="center"/>
              <w:rPr>
                <w:rFonts w:ascii="Times New Roman" w:hAnsi="Times New Roman" w:cs="Times New Roman"/>
                <w:b/>
              </w:rPr>
            </w:pPr>
          </w:p>
          <w:p w:rsidR="00B41D6A" w:rsidRDefault="00B41D6A" w:rsidP="00984C42">
            <w:pPr>
              <w:jc w:val="center"/>
              <w:rPr>
                <w:rFonts w:ascii="Times New Roman" w:hAnsi="Times New Roman" w:cs="Times New Roman"/>
                <w:b/>
              </w:rPr>
            </w:pPr>
          </w:p>
          <w:p w:rsidR="00B41D6A" w:rsidRDefault="00B41D6A" w:rsidP="00984C42">
            <w:pPr>
              <w:jc w:val="center"/>
              <w:rPr>
                <w:rFonts w:ascii="Times New Roman" w:hAnsi="Times New Roman" w:cs="Times New Roman"/>
                <w:b/>
              </w:rPr>
            </w:pPr>
          </w:p>
          <w:p w:rsidR="00B41D6A" w:rsidRDefault="00B41D6A" w:rsidP="00984C42">
            <w:pPr>
              <w:jc w:val="center"/>
              <w:rPr>
                <w:rFonts w:ascii="Times New Roman" w:hAnsi="Times New Roman" w:cs="Times New Roman"/>
                <w:b/>
              </w:rPr>
            </w:pPr>
          </w:p>
          <w:p w:rsidR="00B41D6A" w:rsidRDefault="00B41D6A" w:rsidP="00984C42">
            <w:pPr>
              <w:jc w:val="center"/>
              <w:rPr>
                <w:rFonts w:ascii="Times New Roman" w:hAnsi="Times New Roman" w:cs="Times New Roman"/>
                <w:b/>
              </w:rPr>
            </w:pPr>
          </w:p>
          <w:p w:rsidR="00B41D6A" w:rsidRPr="004421C2" w:rsidRDefault="00B41D6A" w:rsidP="00984C42">
            <w:pPr>
              <w:jc w:val="center"/>
              <w:rPr>
                <w:rFonts w:ascii="Times New Roman" w:hAnsi="Times New Roman" w:cs="Times New Roman"/>
                <w:b/>
              </w:rPr>
            </w:pPr>
            <w:r w:rsidRPr="004421C2">
              <w:rPr>
                <w:rFonts w:ascii="Times New Roman" w:hAnsi="Times New Roman" w:cs="Times New Roman"/>
                <w:b/>
              </w:rPr>
              <w:t>Resumo</w:t>
            </w:r>
          </w:p>
        </w:tc>
        <w:tc>
          <w:tcPr>
            <w:tcW w:w="7938" w:type="dxa"/>
          </w:tcPr>
          <w:p w:rsidR="00B41D6A" w:rsidRDefault="00B41D6A" w:rsidP="0061294F">
            <w:pPr>
              <w:jc w:val="both"/>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Justificativa:</w:t>
            </w:r>
            <w:r>
              <w:rPr>
                <w:rFonts w:ascii="Times New Roman" w:hAnsi="Times New Roman" w:cs="Times New Roman"/>
                <w:color w:val="222222"/>
                <w:shd w:val="clear" w:color="auto" w:fill="FFFFFF"/>
              </w:rPr>
              <w:t xml:space="preserve"> A contratação de Organizações Sociais de Saúde (OSS), prevista em Lei desde 1998, tem sido vista como solução mais eficiente para gestão de serviços públicos de saúde. Entidades jurídicas de direito privado, sem fins lucrativos, regidas pelo Código Civil, para ação em parceria com o Estado, com fomento e fiscalização públicas. A eficiência dessa parceria é questionada, mas pouco estudada. </w:t>
            </w:r>
            <w:r>
              <w:rPr>
                <w:rFonts w:ascii="Times New Roman" w:hAnsi="Times New Roman" w:cs="Times New Roman"/>
                <w:b/>
                <w:color w:val="222222"/>
                <w:shd w:val="clear" w:color="auto" w:fill="FFFFFF"/>
              </w:rPr>
              <w:t xml:space="preserve">Objetivo: </w:t>
            </w:r>
            <w:r>
              <w:rPr>
                <w:rFonts w:ascii="Times New Roman" w:hAnsi="Times New Roman" w:cs="Times New Roman"/>
                <w:color w:val="222222"/>
                <w:shd w:val="clear" w:color="auto" w:fill="FFFFFF"/>
              </w:rPr>
              <w:t xml:space="preserve">Comparar o desempenho de hospitais públicos municipais da cidade do Rio de Janeiro gerenciados pela administração direta (AD) e por OSS, entre 2013 e 2016. </w:t>
            </w:r>
            <w:r>
              <w:rPr>
                <w:rFonts w:ascii="Times New Roman" w:hAnsi="Times New Roman" w:cs="Times New Roman"/>
                <w:b/>
                <w:color w:val="222222"/>
                <w:shd w:val="clear" w:color="auto" w:fill="FFFFFF"/>
              </w:rPr>
              <w:t>Método:</w:t>
            </w:r>
            <w:r>
              <w:rPr>
                <w:rFonts w:ascii="Times New Roman" w:hAnsi="Times New Roman" w:cs="Times New Roman"/>
                <w:color w:val="222222"/>
                <w:shd w:val="clear" w:color="auto" w:fill="FFFFFF"/>
              </w:rPr>
              <w:t xml:space="preserve"> Estudo de caso com base documental, das bases do Departamento de Informática do SUS, comparando 10 hospitais municipais com mais de 100 leitos. </w:t>
            </w:r>
            <w:r>
              <w:rPr>
                <w:rFonts w:ascii="Times New Roman" w:hAnsi="Times New Roman" w:cs="Times New Roman"/>
                <w:b/>
                <w:color w:val="222222"/>
                <w:shd w:val="clear" w:color="auto" w:fill="FFFFFF"/>
              </w:rPr>
              <w:t>Resultados:</w:t>
            </w:r>
            <w:r>
              <w:rPr>
                <w:rFonts w:ascii="Times New Roman" w:hAnsi="Times New Roman" w:cs="Times New Roman"/>
                <w:color w:val="222222"/>
                <w:shd w:val="clear" w:color="auto" w:fill="FFFFFF"/>
              </w:rPr>
              <w:t xml:space="preserve"> </w:t>
            </w:r>
            <w:r>
              <w:rPr>
                <w:rFonts w:ascii="Times New Roman" w:hAnsi="Times New Roman" w:cs="Times New Roman"/>
                <w:b/>
                <w:color w:val="222222"/>
                <w:u w:val="single"/>
                <w:shd w:val="clear" w:color="auto" w:fill="FFFFFF"/>
              </w:rPr>
              <w:t>Cinco hospitais sob AD</w:t>
            </w:r>
            <w:r>
              <w:rPr>
                <w:rFonts w:ascii="Times New Roman" w:hAnsi="Times New Roman" w:cs="Times New Roman"/>
                <w:color w:val="222222"/>
                <w:shd w:val="clear" w:color="auto" w:fill="FFFFFF"/>
              </w:rPr>
              <w:t xml:space="preserve">, cujos dados totalizam, respectivamente, em 2013 e 2016: 1.435 e 1.383 leitos operacionais, taxa de ocupação média de 81 e 70%, média de permanência de 9,3 e 8,8 dias e taxa de mortalidade de 7,2 e 5,9%. </w:t>
            </w:r>
            <w:r>
              <w:rPr>
                <w:rFonts w:ascii="Times New Roman" w:hAnsi="Times New Roman" w:cs="Times New Roman"/>
                <w:color w:val="222222"/>
                <w:u w:val="single"/>
                <w:shd w:val="clear" w:color="auto" w:fill="FFFFFF"/>
              </w:rPr>
              <w:t xml:space="preserve">Os </w:t>
            </w:r>
            <w:r>
              <w:rPr>
                <w:rFonts w:ascii="Times New Roman" w:hAnsi="Times New Roman" w:cs="Times New Roman"/>
                <w:b/>
                <w:color w:val="222222"/>
                <w:u w:val="single"/>
                <w:shd w:val="clear" w:color="auto" w:fill="FFFFFF"/>
              </w:rPr>
              <w:t>cinco hospitais gerenciados por OSS</w:t>
            </w:r>
            <w:r>
              <w:rPr>
                <w:rFonts w:ascii="Times New Roman" w:hAnsi="Times New Roman" w:cs="Times New Roman"/>
                <w:color w:val="222222"/>
                <w:shd w:val="clear" w:color="auto" w:fill="FFFFFF"/>
              </w:rPr>
              <w:t xml:space="preserve"> tiveram, respectivamente, em 2013 e 2016: 1.212 e 1.035 leitos, taxa de ocupação média de 68 e 82%, média de permanência de 7,7 e 7 dias e taxa de mortalidade de 9,9 e 9,6%. Em 2013, os hospitais municipais gerenciados por OSS operaram com 82% do custo por internação em relação aos da AD, produzindo 3% a mais de internações por leito no ano. Em 2016, operaram com custo de 5,3% a mais que os da AD, mas internando 42% a mais por leito. </w:t>
            </w:r>
            <w:r>
              <w:rPr>
                <w:rFonts w:ascii="Times New Roman" w:hAnsi="Times New Roman" w:cs="Times New Roman"/>
                <w:b/>
                <w:color w:val="222222"/>
                <w:shd w:val="clear" w:color="auto" w:fill="FFFFFF"/>
              </w:rPr>
              <w:t>Conclusão:</w:t>
            </w:r>
            <w:r>
              <w:rPr>
                <w:rFonts w:ascii="Times New Roman" w:hAnsi="Times New Roman" w:cs="Times New Roman"/>
                <w:color w:val="222222"/>
                <w:shd w:val="clear" w:color="auto" w:fill="FFFFFF"/>
              </w:rPr>
              <w:t xml:space="preserve"> OSS operaram em 2013 com muito menor custo por internação. Em 2016, esse custo ultrapassou ligeiramente (5%) os da AD, mas com ganho em produtividade de 42%, podendo significar maior densidade de uso, resolubilidade, oferta/acesso aos procedimentos hospitalares. Por outro lado, cabe aprofundamento com estudo da complexidade das internações e taxas de </w:t>
            </w:r>
            <w:proofErr w:type="spellStart"/>
            <w:r>
              <w:rPr>
                <w:rFonts w:ascii="Times New Roman" w:hAnsi="Times New Roman" w:cs="Times New Roman"/>
                <w:color w:val="222222"/>
                <w:shd w:val="clear" w:color="auto" w:fill="FFFFFF"/>
              </w:rPr>
              <w:t>reinternação</w:t>
            </w:r>
            <w:proofErr w:type="spellEnd"/>
            <w:r>
              <w:rPr>
                <w:rFonts w:ascii="Times New Roman" w:hAnsi="Times New Roman" w:cs="Times New Roman"/>
                <w:color w:val="222222"/>
                <w:shd w:val="clear" w:color="auto" w:fill="FFFFFF"/>
              </w:rPr>
              <w:t>, por exemplo.</w:t>
            </w:r>
          </w:p>
          <w:p w:rsidR="00B41D6A" w:rsidRPr="00B41D6A" w:rsidRDefault="00B41D6A" w:rsidP="0061294F">
            <w:pPr>
              <w:jc w:val="both"/>
              <w:rPr>
                <w:rFonts w:ascii="Times New Roman" w:eastAsia="Times New Roman" w:hAnsi="Times New Roman" w:cs="Times New Roman"/>
              </w:rPr>
            </w:pPr>
          </w:p>
        </w:tc>
      </w:tr>
      <w:tr w:rsidR="00B41D6A" w:rsidTr="004421C2">
        <w:tc>
          <w:tcPr>
            <w:tcW w:w="1843" w:type="dxa"/>
          </w:tcPr>
          <w:p w:rsidR="00B41D6A" w:rsidRPr="00C419A7" w:rsidRDefault="00B41D6A" w:rsidP="00984C42">
            <w:pPr>
              <w:jc w:val="center"/>
              <w:rPr>
                <w:rFonts w:ascii="Times New Roman" w:hAnsi="Times New Roman" w:cs="Times New Roman"/>
                <w:b/>
              </w:rPr>
            </w:pPr>
            <w:r w:rsidRPr="00C419A7">
              <w:rPr>
                <w:rFonts w:ascii="Times New Roman" w:hAnsi="Times New Roman" w:cs="Times New Roman"/>
                <w:b/>
              </w:rPr>
              <w:t>Instituição financiadora da pesquisa e declaração de conflito de interesse</w:t>
            </w:r>
          </w:p>
        </w:tc>
        <w:tc>
          <w:tcPr>
            <w:tcW w:w="7938" w:type="dxa"/>
          </w:tcPr>
          <w:p w:rsidR="00B41D6A" w:rsidRDefault="00B41D6A" w:rsidP="00C419A7">
            <w:pPr>
              <w:rPr>
                <w:rFonts w:ascii="Times New Roman" w:hAnsi="Times New Roman" w:cs="Times New Roman"/>
              </w:rPr>
            </w:pPr>
          </w:p>
          <w:p w:rsidR="00B41D6A" w:rsidRPr="00C419A7" w:rsidRDefault="00B41D6A" w:rsidP="00986D35">
            <w:pPr>
              <w:rPr>
                <w:rFonts w:ascii="Times New Roman" w:hAnsi="Times New Roman" w:cs="Times New Roman"/>
              </w:rPr>
            </w:pPr>
          </w:p>
        </w:tc>
      </w:tr>
    </w:tbl>
    <w:p w:rsidR="00B41D6A" w:rsidRDefault="00B41D6A" w:rsidP="00C419A7"/>
    <w:p w:rsidR="00B41D6A" w:rsidRPr="00D85CF9" w:rsidRDefault="00B41D6A" w:rsidP="0061268B">
      <w:pPr>
        <w:pStyle w:val="BNDES"/>
        <w:rPr>
          <w:rFonts w:ascii="Arial" w:hAnsi="Arial" w:cs="Arial"/>
        </w:rPr>
      </w:pPr>
    </w:p>
    <w:sectPr w:rsidR="00B41D6A" w:rsidRPr="00D85CF9" w:rsidSect="0061268B">
      <w:headerReference w:type="default" r:id="rId7"/>
      <w:pgSz w:w="11907" w:h="16840" w:code="9"/>
      <w:pgMar w:top="1701" w:right="1418" w:bottom="1418" w:left="1418" w:header="709" w:footer="709" w:gutter="0"/>
      <w:cols w:space="708"/>
      <w:docGrid w:linePitch="360" w:charSpace="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BC5" w:rsidRDefault="00541BC5" w:rsidP="00541BC5">
      <w:r>
        <w:separator/>
      </w:r>
    </w:p>
  </w:endnote>
  <w:endnote w:type="continuationSeparator" w:id="0">
    <w:p w:rsidR="00541BC5" w:rsidRDefault="00541BC5" w:rsidP="0054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ptimum">
    <w:panose1 w:val="00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BC5" w:rsidRDefault="00541BC5" w:rsidP="00541BC5">
      <w:r>
        <w:separator/>
      </w:r>
    </w:p>
  </w:footnote>
  <w:footnote w:type="continuationSeparator" w:id="0">
    <w:p w:rsidR="00541BC5" w:rsidRDefault="00541BC5" w:rsidP="00541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BFC" w:rsidRDefault="005802C8">
    <w:pPr>
      <w:pStyle w:val="Corpodetexto"/>
      <w:spacing w:line="14" w:lineRule="auto"/>
      <w:rPr>
        <w:sz w:val="20"/>
      </w:rPr>
    </w:pPr>
    <w:r>
      <w:pict>
        <v:group id="_x0000_s2049" style="position:absolute;margin-left:79.45pt;margin-top:31.65pt;width:436.65pt;height:50.5pt;z-index:-251657216;mso-position-horizontal-relative:page;mso-position-vertical-relative:page" coordorigin="1589,708" coordsize="8733,1266">
          <v:line id="_x0000_s2050" style="position:absolute" from="1599,713" to="3564,713" strokeweight=".48pt"/>
          <v:line id="_x0000_s2051" style="position:absolute" from="3574,713" to="10312,713" strokeweight=".48pt"/>
          <v:line id="_x0000_s2052" style="position:absolute" from="1594,708" to="1594,1973" strokeweight=".48pt"/>
          <v:line id="_x0000_s2053" style="position:absolute" from="1599,1968" to="3564,1968" strokeweight=".48pt"/>
          <v:line id="_x0000_s2054" style="position:absolute" from="3569,708" to="3569,1973" strokeweight=".48pt"/>
          <v:line id="_x0000_s2055" style="position:absolute" from="3574,1968" to="10312,1968" strokeweight=".48pt"/>
          <v:line id="_x0000_s2056" style="position:absolute" from="10317,708" to="10317,1973"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1738;top:934;width:1632;height:688">
            <v:imagedata r:id="rId1" o:title=""/>
          </v:shape>
          <w10:wrap anchorx="page" anchory="page"/>
        </v:group>
      </w:pict>
    </w:r>
    <w:r>
      <w:pict>
        <v:shapetype id="_x0000_t202" coordsize="21600,21600" o:spt="202" path="m,l,21600r21600,l21600,xe">
          <v:stroke joinstyle="miter"/>
          <v:path gradientshapeok="t" o:connecttype="rect"/>
        </v:shapetype>
        <v:shape id="_x0000_s2058" type="#_x0000_t202" style="position:absolute;margin-left:189.95pt;margin-top:37.3pt;width:314.3pt;height:59.5pt;z-index:-251656192;mso-position-horizontal-relative:page;mso-position-vertical-relative:page" filled="f" stroked="f">
          <v:textbox inset="0,0,0,0">
            <w:txbxContent>
              <w:p w:rsidR="00405BFC" w:rsidRDefault="005802C8" w:rsidP="0061268B">
                <w:pPr>
                  <w:ind w:left="20" w:right="17"/>
                  <w:jc w:val="center"/>
                  <w:rPr>
                    <w:rFonts w:ascii="Arial" w:hAnsi="Arial"/>
                    <w:b/>
                  </w:rPr>
                </w:pPr>
                <w:r>
                  <w:rPr>
                    <w:rFonts w:ascii="Arial" w:hAnsi="Arial"/>
                    <w:b/>
                  </w:rPr>
                  <w:t>XIII ENCONTRO NACIONAL DE ECONOMIA DA SAÚDE 30 E 31 DE AGOSTO DE 2018</w:t>
                </w:r>
              </w:p>
              <w:p w:rsidR="00405BFC" w:rsidRDefault="005802C8" w:rsidP="0061268B">
                <w:pPr>
                  <w:ind w:left="17" w:right="17"/>
                  <w:jc w:val="center"/>
                  <w:rPr>
                    <w:rFonts w:ascii="Arial" w:hAnsi="Arial"/>
                    <w:b/>
                  </w:rPr>
                </w:pPr>
                <w:r>
                  <w:rPr>
                    <w:rFonts w:ascii="Arial" w:hAnsi="Arial"/>
                    <w:b/>
                  </w:rPr>
                  <w:t>LOCAL: FIOCRUZ – BRASÍLIA, DF</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NDES"/>
  <w:drawingGridHorizontalSpacing w:val="0"/>
  <w:displayHorizontalDrawingGridEvery w:val="2"/>
  <w:displayVerticalDrawingGridEvery w:val="2"/>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C5"/>
    <w:rsid w:val="00042719"/>
    <w:rsid w:val="0043400B"/>
    <w:rsid w:val="00463996"/>
    <w:rsid w:val="00541BC5"/>
    <w:rsid w:val="005802C8"/>
    <w:rsid w:val="0061268B"/>
    <w:rsid w:val="0078281C"/>
    <w:rsid w:val="00814288"/>
    <w:rsid w:val="00B41D6A"/>
    <w:rsid w:val="00D85CF9"/>
    <w:rsid w:val="00EC66D2"/>
    <w:rsid w:val="00ED182E"/>
    <w:rsid w:val="00F917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Optimum" w:hAnsi="Optimum"/>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NDES">
    <w:name w:val="BNDES"/>
    <w:basedOn w:val="Normal"/>
    <w:rsid w:val="0043400B"/>
    <w:pPr>
      <w:jc w:val="both"/>
    </w:pPr>
  </w:style>
  <w:style w:type="paragraph" w:styleId="Corpodetexto">
    <w:name w:val="Body Text"/>
    <w:basedOn w:val="Normal"/>
    <w:link w:val="CorpodetextoChar"/>
    <w:uiPriority w:val="1"/>
    <w:qFormat/>
    <w:rsid w:val="00541BC5"/>
    <w:pPr>
      <w:widowControl w:val="0"/>
      <w:autoSpaceDE w:val="0"/>
      <w:autoSpaceDN w:val="0"/>
    </w:pPr>
    <w:rPr>
      <w:rFonts w:ascii="Arial Black" w:eastAsia="Arial Black" w:hAnsi="Arial Black" w:cs="Arial Black"/>
      <w:lang w:bidi="pt-BR"/>
    </w:rPr>
  </w:style>
  <w:style w:type="character" w:customStyle="1" w:styleId="CorpodetextoChar">
    <w:name w:val="Corpo de texto Char"/>
    <w:basedOn w:val="Fontepargpadro"/>
    <w:link w:val="Corpodetexto"/>
    <w:uiPriority w:val="1"/>
    <w:rsid w:val="00541BC5"/>
    <w:rPr>
      <w:rFonts w:ascii="Arial Black" w:eastAsia="Arial Black" w:hAnsi="Arial Black" w:cs="Arial Black"/>
      <w:sz w:val="24"/>
      <w:szCs w:val="24"/>
      <w:lang w:bidi="pt-BR"/>
    </w:rPr>
  </w:style>
  <w:style w:type="paragraph" w:customStyle="1" w:styleId="TableParagraph">
    <w:name w:val="Table Paragraph"/>
    <w:basedOn w:val="Normal"/>
    <w:uiPriority w:val="1"/>
    <w:qFormat/>
    <w:rsid w:val="00541BC5"/>
    <w:pPr>
      <w:widowControl w:val="0"/>
      <w:autoSpaceDE w:val="0"/>
      <w:autoSpaceDN w:val="0"/>
    </w:pPr>
    <w:rPr>
      <w:rFonts w:ascii="Times New Roman" w:hAnsi="Times New Roman"/>
      <w:sz w:val="22"/>
      <w:szCs w:val="22"/>
      <w:lang w:bidi="pt-BR"/>
    </w:rPr>
  </w:style>
  <w:style w:type="character" w:styleId="Forte">
    <w:name w:val="Strong"/>
    <w:basedOn w:val="Fontepargpadro"/>
    <w:uiPriority w:val="99"/>
    <w:qFormat/>
    <w:rsid w:val="00541BC5"/>
    <w:rPr>
      <w:b/>
      <w:bCs/>
    </w:rPr>
  </w:style>
  <w:style w:type="paragraph" w:styleId="Cabealho">
    <w:name w:val="header"/>
    <w:basedOn w:val="Normal"/>
    <w:link w:val="CabealhoChar"/>
    <w:uiPriority w:val="99"/>
    <w:unhideWhenUsed/>
    <w:rsid w:val="00541BC5"/>
    <w:pPr>
      <w:tabs>
        <w:tab w:val="center" w:pos="4252"/>
        <w:tab w:val="right" w:pos="8504"/>
      </w:tabs>
    </w:pPr>
  </w:style>
  <w:style w:type="character" w:customStyle="1" w:styleId="CabealhoChar">
    <w:name w:val="Cabeçalho Char"/>
    <w:basedOn w:val="Fontepargpadro"/>
    <w:link w:val="Cabealho"/>
    <w:uiPriority w:val="99"/>
    <w:rsid w:val="00541BC5"/>
    <w:rPr>
      <w:rFonts w:ascii="Optimum" w:hAnsi="Optimum"/>
      <w:sz w:val="24"/>
      <w:szCs w:val="24"/>
    </w:rPr>
  </w:style>
  <w:style w:type="paragraph" w:styleId="Rodap">
    <w:name w:val="footer"/>
    <w:basedOn w:val="Normal"/>
    <w:link w:val="RodapChar"/>
    <w:uiPriority w:val="99"/>
    <w:unhideWhenUsed/>
    <w:rsid w:val="00541BC5"/>
    <w:pPr>
      <w:tabs>
        <w:tab w:val="center" w:pos="4252"/>
        <w:tab w:val="right" w:pos="8504"/>
      </w:tabs>
    </w:pPr>
  </w:style>
  <w:style w:type="character" w:customStyle="1" w:styleId="RodapChar">
    <w:name w:val="Rodapé Char"/>
    <w:basedOn w:val="Fontepargpadro"/>
    <w:link w:val="Rodap"/>
    <w:uiPriority w:val="99"/>
    <w:rsid w:val="00541BC5"/>
    <w:rPr>
      <w:rFonts w:ascii="Optimum" w:hAnsi="Optimum"/>
      <w:sz w:val="24"/>
      <w:szCs w:val="24"/>
    </w:rPr>
  </w:style>
  <w:style w:type="paragraph" w:styleId="Pr-formataoHTML">
    <w:name w:val="HTML Preformatted"/>
    <w:basedOn w:val="Normal"/>
    <w:link w:val="Pr-formataoHTMLChar"/>
    <w:uiPriority w:val="99"/>
    <w:unhideWhenUsed/>
    <w:rsid w:val="00042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042719"/>
    <w:rPr>
      <w:rFonts w:ascii="Courier New" w:hAnsi="Courier New" w:cs="Courier New"/>
    </w:rPr>
  </w:style>
  <w:style w:type="table" w:styleId="Tabelacomgrade">
    <w:name w:val="Table Grid"/>
    <w:basedOn w:val="Tabelanormal"/>
    <w:uiPriority w:val="59"/>
    <w:rsid w:val="00B41D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Optimum" w:hAnsi="Optimum"/>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NDES">
    <w:name w:val="BNDES"/>
    <w:basedOn w:val="Normal"/>
    <w:rsid w:val="0043400B"/>
    <w:pPr>
      <w:jc w:val="both"/>
    </w:pPr>
  </w:style>
  <w:style w:type="paragraph" w:styleId="Corpodetexto">
    <w:name w:val="Body Text"/>
    <w:basedOn w:val="Normal"/>
    <w:link w:val="CorpodetextoChar"/>
    <w:uiPriority w:val="1"/>
    <w:qFormat/>
    <w:rsid w:val="00541BC5"/>
    <w:pPr>
      <w:widowControl w:val="0"/>
      <w:autoSpaceDE w:val="0"/>
      <w:autoSpaceDN w:val="0"/>
    </w:pPr>
    <w:rPr>
      <w:rFonts w:ascii="Arial Black" w:eastAsia="Arial Black" w:hAnsi="Arial Black" w:cs="Arial Black"/>
      <w:lang w:bidi="pt-BR"/>
    </w:rPr>
  </w:style>
  <w:style w:type="character" w:customStyle="1" w:styleId="CorpodetextoChar">
    <w:name w:val="Corpo de texto Char"/>
    <w:basedOn w:val="Fontepargpadro"/>
    <w:link w:val="Corpodetexto"/>
    <w:uiPriority w:val="1"/>
    <w:rsid w:val="00541BC5"/>
    <w:rPr>
      <w:rFonts w:ascii="Arial Black" w:eastAsia="Arial Black" w:hAnsi="Arial Black" w:cs="Arial Black"/>
      <w:sz w:val="24"/>
      <w:szCs w:val="24"/>
      <w:lang w:bidi="pt-BR"/>
    </w:rPr>
  </w:style>
  <w:style w:type="paragraph" w:customStyle="1" w:styleId="TableParagraph">
    <w:name w:val="Table Paragraph"/>
    <w:basedOn w:val="Normal"/>
    <w:uiPriority w:val="1"/>
    <w:qFormat/>
    <w:rsid w:val="00541BC5"/>
    <w:pPr>
      <w:widowControl w:val="0"/>
      <w:autoSpaceDE w:val="0"/>
      <w:autoSpaceDN w:val="0"/>
    </w:pPr>
    <w:rPr>
      <w:rFonts w:ascii="Times New Roman" w:hAnsi="Times New Roman"/>
      <w:sz w:val="22"/>
      <w:szCs w:val="22"/>
      <w:lang w:bidi="pt-BR"/>
    </w:rPr>
  </w:style>
  <w:style w:type="character" w:styleId="Forte">
    <w:name w:val="Strong"/>
    <w:basedOn w:val="Fontepargpadro"/>
    <w:uiPriority w:val="99"/>
    <w:qFormat/>
    <w:rsid w:val="00541BC5"/>
    <w:rPr>
      <w:b/>
      <w:bCs/>
    </w:rPr>
  </w:style>
  <w:style w:type="paragraph" w:styleId="Cabealho">
    <w:name w:val="header"/>
    <w:basedOn w:val="Normal"/>
    <w:link w:val="CabealhoChar"/>
    <w:uiPriority w:val="99"/>
    <w:unhideWhenUsed/>
    <w:rsid w:val="00541BC5"/>
    <w:pPr>
      <w:tabs>
        <w:tab w:val="center" w:pos="4252"/>
        <w:tab w:val="right" w:pos="8504"/>
      </w:tabs>
    </w:pPr>
  </w:style>
  <w:style w:type="character" w:customStyle="1" w:styleId="CabealhoChar">
    <w:name w:val="Cabeçalho Char"/>
    <w:basedOn w:val="Fontepargpadro"/>
    <w:link w:val="Cabealho"/>
    <w:uiPriority w:val="99"/>
    <w:rsid w:val="00541BC5"/>
    <w:rPr>
      <w:rFonts w:ascii="Optimum" w:hAnsi="Optimum"/>
      <w:sz w:val="24"/>
      <w:szCs w:val="24"/>
    </w:rPr>
  </w:style>
  <w:style w:type="paragraph" w:styleId="Rodap">
    <w:name w:val="footer"/>
    <w:basedOn w:val="Normal"/>
    <w:link w:val="RodapChar"/>
    <w:uiPriority w:val="99"/>
    <w:unhideWhenUsed/>
    <w:rsid w:val="00541BC5"/>
    <w:pPr>
      <w:tabs>
        <w:tab w:val="center" w:pos="4252"/>
        <w:tab w:val="right" w:pos="8504"/>
      </w:tabs>
    </w:pPr>
  </w:style>
  <w:style w:type="character" w:customStyle="1" w:styleId="RodapChar">
    <w:name w:val="Rodapé Char"/>
    <w:basedOn w:val="Fontepargpadro"/>
    <w:link w:val="Rodap"/>
    <w:uiPriority w:val="99"/>
    <w:rsid w:val="00541BC5"/>
    <w:rPr>
      <w:rFonts w:ascii="Optimum" w:hAnsi="Optimum"/>
      <w:sz w:val="24"/>
      <w:szCs w:val="24"/>
    </w:rPr>
  </w:style>
  <w:style w:type="paragraph" w:styleId="Pr-formataoHTML">
    <w:name w:val="HTML Preformatted"/>
    <w:basedOn w:val="Normal"/>
    <w:link w:val="Pr-formataoHTMLChar"/>
    <w:uiPriority w:val="99"/>
    <w:unhideWhenUsed/>
    <w:rsid w:val="00042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042719"/>
    <w:rPr>
      <w:rFonts w:ascii="Courier New" w:hAnsi="Courier New" w:cs="Courier New"/>
    </w:rPr>
  </w:style>
  <w:style w:type="table" w:styleId="Tabelacomgrade">
    <w:name w:val="Table Grid"/>
    <w:basedOn w:val="Tabelanormal"/>
    <w:uiPriority w:val="59"/>
    <w:rsid w:val="00B41D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2256</Words>
  <Characters>13173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BNDES</Company>
  <LinksUpToDate>false</LinksUpToDate>
  <CharactersWithSpaces>15399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Mendes Leal de Souza</dc:creator>
  <cp:lastModifiedBy>Rodrigo Mendes Leal de Souza</cp:lastModifiedBy>
  <cp:revision>3</cp:revision>
  <dcterms:created xsi:type="dcterms:W3CDTF">2018-08-29T12:12:00Z</dcterms:created>
  <dcterms:modified xsi:type="dcterms:W3CDTF">2018-08-29T12:13:00Z</dcterms:modified>
</cp:coreProperties>
</file>