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C5" w:rsidRDefault="00541BC5">
      <w:pPr>
        <w:pStyle w:val="Corpodetexto"/>
        <w:spacing w:before="9"/>
        <w:rPr>
          <w:sz w:val="12"/>
        </w:rPr>
      </w:pPr>
      <w:bookmarkStart w:id="0" w:name="_GoBack"/>
      <w:bookmarkEnd w:id="0"/>
    </w:p>
    <w:p w:rsidR="00541BC5" w:rsidRDefault="00541BC5">
      <w:pPr>
        <w:pStyle w:val="Corpodetexto"/>
        <w:spacing w:before="9"/>
        <w:rPr>
          <w:rFonts w:ascii="Times New Roman"/>
          <w:b/>
          <w:sz w:val="13"/>
        </w:rPr>
      </w:pPr>
    </w:p>
    <w:tbl>
      <w:tblPr>
        <w:tblpPr w:leftFromText="141" w:rightFromText="141" w:horzAnchor="margin" w:tblpY="615"/>
        <w:tblW w:w="8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2052"/>
        <w:gridCol w:w="5582"/>
      </w:tblGrid>
      <w:tr w:rsidR="00541BC5" w:rsidRPr="00A96C14" w:rsidTr="00541BC5">
        <w:trPr>
          <w:trHeight w:val="263"/>
        </w:trPr>
        <w:tc>
          <w:tcPr>
            <w:tcW w:w="8652" w:type="dxa"/>
            <w:gridSpan w:val="3"/>
            <w:tcBorders>
              <w:bottom w:val="nil"/>
            </w:tcBorders>
            <w:shd w:val="clear" w:color="auto" w:fill="C0C0C0"/>
          </w:tcPr>
          <w:p w:rsidR="00541BC5" w:rsidRPr="00773E4B" w:rsidRDefault="00541BC5" w:rsidP="00541BC5">
            <w:pPr>
              <w:pStyle w:val="TableParagraph"/>
              <w:spacing w:before="5"/>
              <w:jc w:val="center"/>
              <w:rPr>
                <w:rFonts w:ascii="Calibri" w:hAnsi="Calibri"/>
                <w:b/>
                <w:sz w:val="21"/>
                <w:szCs w:val="21"/>
              </w:rPr>
            </w:pPr>
            <w:r w:rsidRPr="00773E4B">
              <w:rPr>
                <w:rFonts w:ascii="Calibri" w:hAnsi="Calibri"/>
                <w:b/>
                <w:sz w:val="21"/>
                <w:szCs w:val="21"/>
              </w:rPr>
              <w:t>Pôsteres - Sessão 1: Financiamento e Gestão Financeira do SUS</w:t>
            </w:r>
          </w:p>
        </w:tc>
      </w:tr>
      <w:tr w:rsidR="00541BC5" w:rsidRPr="00A96C14" w:rsidTr="00541BC5">
        <w:trPr>
          <w:trHeight w:val="263"/>
        </w:trPr>
        <w:tc>
          <w:tcPr>
            <w:tcW w:w="8652" w:type="dxa"/>
            <w:gridSpan w:val="3"/>
            <w:tcBorders>
              <w:bottom w:val="nil"/>
            </w:tcBorders>
            <w:shd w:val="clear" w:color="auto" w:fill="C0C0C0"/>
          </w:tcPr>
          <w:p w:rsidR="00541BC5" w:rsidRPr="00773E4B" w:rsidRDefault="00541BC5" w:rsidP="00541BC5">
            <w:pPr>
              <w:jc w:val="center"/>
              <w:rPr>
                <w:rFonts w:ascii="Times New Roman" w:hAnsi="Times New Roman"/>
              </w:rPr>
            </w:pPr>
            <w:proofErr w:type="gramStart"/>
            <w:r w:rsidRPr="00B13318">
              <w:rPr>
                <w:rFonts w:ascii="Times New Roman" w:hAnsi="Times New Roman"/>
              </w:rPr>
              <w:t>Autor</w:t>
            </w:r>
            <w:r>
              <w:rPr>
                <w:rFonts w:ascii="Times New Roman" w:hAnsi="Times New Roman"/>
              </w:rPr>
              <w:t>(</w:t>
            </w:r>
            <w:proofErr w:type="gramEnd"/>
            <w:r w:rsidRPr="00B13318">
              <w:rPr>
                <w:rFonts w:ascii="Times New Roman" w:hAnsi="Times New Roman"/>
              </w:rPr>
              <w:t>es</w:t>
            </w:r>
            <w:r>
              <w:rPr>
                <w:rFonts w:ascii="Times New Roman" w:hAnsi="Times New Roman"/>
              </w:rPr>
              <w:t>) e instituição(</w:t>
            </w:r>
            <w:proofErr w:type="spellStart"/>
            <w:r>
              <w:rPr>
                <w:rFonts w:ascii="Times New Roman" w:hAnsi="Times New Roman"/>
              </w:rPr>
              <w:t>ões</w:t>
            </w:r>
            <w:proofErr w:type="spellEnd"/>
            <w:r>
              <w:rPr>
                <w:rFonts w:ascii="Times New Roman" w:hAnsi="Times New Roman"/>
              </w:rPr>
              <w:t>):</w:t>
            </w:r>
          </w:p>
          <w:p w:rsidR="00541BC5" w:rsidRPr="00773E4B" w:rsidRDefault="00541BC5" w:rsidP="00541BC5">
            <w:pPr>
              <w:pStyle w:val="TableParagraph"/>
              <w:spacing w:before="5"/>
              <w:jc w:val="center"/>
              <w:rPr>
                <w:b/>
                <w:sz w:val="13"/>
              </w:rPr>
            </w:pPr>
            <w:r w:rsidRPr="00773E4B">
              <w:rPr>
                <w:szCs w:val="21"/>
                <w:u w:val="single"/>
              </w:rPr>
              <w:t xml:space="preserve">André </w:t>
            </w:r>
            <w:proofErr w:type="spellStart"/>
            <w:r w:rsidRPr="00773E4B">
              <w:rPr>
                <w:szCs w:val="21"/>
                <w:u w:val="single"/>
              </w:rPr>
              <w:t>Luis</w:t>
            </w:r>
            <w:proofErr w:type="spellEnd"/>
            <w:r w:rsidRPr="00773E4B">
              <w:rPr>
                <w:szCs w:val="21"/>
                <w:u w:val="single"/>
              </w:rPr>
              <w:t xml:space="preserve"> Alves de Quevedo</w:t>
            </w:r>
            <w:r w:rsidRPr="00773E4B">
              <w:rPr>
                <w:szCs w:val="21"/>
              </w:rPr>
              <w:t xml:space="preserve"> - Secretaria de Saúde do Estado do Rio Grande do Sul; Adriane </w:t>
            </w:r>
            <w:proofErr w:type="spellStart"/>
            <w:r w:rsidRPr="00773E4B">
              <w:rPr>
                <w:szCs w:val="21"/>
              </w:rPr>
              <w:t>Kern</w:t>
            </w:r>
            <w:proofErr w:type="spellEnd"/>
            <w:r w:rsidRPr="00773E4B">
              <w:rPr>
                <w:szCs w:val="21"/>
              </w:rPr>
              <w:t xml:space="preserve"> - Secretaria de Saúde do Estado do Rio Grande do Sul; Rodrigo Mendes Leal de Souza - Banco Nacional Desenvolvimento Econômico e Social (BNDES) e UFG.</w:t>
            </w:r>
          </w:p>
          <w:p w:rsidR="00541BC5" w:rsidRPr="00A96C14" w:rsidRDefault="00541BC5" w:rsidP="00541BC5">
            <w:pPr>
              <w:pStyle w:val="TableParagraph"/>
              <w:spacing w:line="141" w:lineRule="exact"/>
              <w:ind w:left="-1" w:right="-31"/>
              <w:rPr>
                <w:sz w:val="14"/>
              </w:rPr>
            </w:pPr>
            <w:r>
              <w:rPr>
                <w:position w:val="-2"/>
                <w:sz w:val="14"/>
              </w:rPr>
            </w:r>
            <w:r>
              <w:rPr>
                <w:position w:val="-2"/>
                <w:sz w:val="14"/>
              </w:rPr>
              <w:pict>
                <v:group id="_x0000_s1026" style="width:431.85pt;height:7.1pt;mso-position-horizontal-relative:char;mso-position-vertical-relative:line" coordsize="8637,142">
                  <v:line id="_x0000_s1027" style="position:absolute" from="65,66" to="8572,66" strokecolor="silver" strokeweight="6.6pt"/>
                  <v:line id="_x0000_s1028" style="position:absolute" from="0,137" to="1008,137" strokeweight=".48pt"/>
                  <v:line id="_x0000_s1029" style="position:absolute" from="1018,137" to="8637,137" strokeweight=".48pt"/>
                  <w10:wrap type="none"/>
                  <w10:anchorlock/>
                </v:group>
              </w:pict>
            </w:r>
          </w:p>
        </w:tc>
      </w:tr>
      <w:tr w:rsidR="00541BC5" w:rsidRPr="00A96C14" w:rsidTr="00541BC5">
        <w:trPr>
          <w:trHeight w:val="758"/>
        </w:trPr>
        <w:tc>
          <w:tcPr>
            <w:tcW w:w="1018" w:type="dxa"/>
            <w:tcBorders>
              <w:top w:val="nil"/>
            </w:tcBorders>
          </w:tcPr>
          <w:p w:rsidR="00541BC5" w:rsidRPr="00773E4B" w:rsidRDefault="00541BC5" w:rsidP="00541BC5">
            <w:pPr>
              <w:pStyle w:val="TableParagraph"/>
              <w:ind w:left="98" w:right="90"/>
              <w:jc w:val="center"/>
              <w:rPr>
                <w:b/>
              </w:rPr>
            </w:pPr>
            <w:r w:rsidRPr="00773E4B">
              <w:rPr>
                <w:b/>
              </w:rPr>
              <w:t xml:space="preserve">Título </w:t>
            </w:r>
          </w:p>
          <w:p w:rsidR="00541BC5" w:rsidRPr="00A96C14" w:rsidRDefault="00541BC5" w:rsidP="00541BC5">
            <w:pPr>
              <w:pStyle w:val="TableParagraph"/>
              <w:spacing w:line="233" w:lineRule="exact"/>
              <w:ind w:left="53" w:right="46"/>
              <w:jc w:val="center"/>
            </w:pPr>
          </w:p>
        </w:tc>
        <w:tc>
          <w:tcPr>
            <w:tcW w:w="7634" w:type="dxa"/>
            <w:gridSpan w:val="2"/>
            <w:tcBorders>
              <w:top w:val="nil"/>
            </w:tcBorders>
          </w:tcPr>
          <w:p w:rsidR="00541BC5" w:rsidRPr="00A96C14" w:rsidRDefault="00541BC5" w:rsidP="00541BC5">
            <w:pPr>
              <w:pStyle w:val="TableParagraph"/>
            </w:pPr>
            <w:r w:rsidRPr="00A96C14">
              <w:t xml:space="preserve">Auditoria em Saúde </w:t>
            </w:r>
            <w:r w:rsidRPr="00A96C14">
              <w:rPr>
                <w:color w:val="000000"/>
              </w:rPr>
              <w:t>no Estado do Rio Grande do Sul: uma análise desde a perspectiva da Economia da Saúde</w:t>
            </w:r>
          </w:p>
        </w:tc>
      </w:tr>
      <w:tr w:rsidR="00541BC5" w:rsidRPr="00A96C14" w:rsidTr="00541BC5">
        <w:trPr>
          <w:trHeight w:val="760"/>
        </w:trPr>
        <w:tc>
          <w:tcPr>
            <w:tcW w:w="1018" w:type="dxa"/>
          </w:tcPr>
          <w:p w:rsidR="00541BC5" w:rsidRPr="00773E4B" w:rsidRDefault="00541BC5" w:rsidP="00541BC5">
            <w:pPr>
              <w:pStyle w:val="TableParagraph"/>
              <w:ind w:left="59" w:right="46"/>
              <w:jc w:val="center"/>
              <w:rPr>
                <w:b/>
              </w:rPr>
            </w:pPr>
            <w:r w:rsidRPr="00773E4B">
              <w:rPr>
                <w:b/>
              </w:rPr>
              <w:t>Palavras- chave</w:t>
            </w:r>
          </w:p>
          <w:p w:rsidR="00541BC5" w:rsidRPr="00A96C14" w:rsidRDefault="00541BC5" w:rsidP="00541BC5">
            <w:pPr>
              <w:pStyle w:val="TableParagraph"/>
              <w:spacing w:line="236" w:lineRule="exact"/>
              <w:ind w:left="98" w:right="90"/>
              <w:jc w:val="center"/>
            </w:pPr>
          </w:p>
        </w:tc>
        <w:tc>
          <w:tcPr>
            <w:tcW w:w="7634" w:type="dxa"/>
            <w:gridSpan w:val="2"/>
          </w:tcPr>
          <w:p w:rsidR="00541BC5" w:rsidRPr="00A96C14" w:rsidRDefault="00541BC5" w:rsidP="00541BC5">
            <w:pPr>
              <w:pStyle w:val="TableParagraph"/>
            </w:pPr>
            <w:r w:rsidRPr="00A96C14">
              <w:t>Auditoria Médica; Gestão em Saúde; Economia da Saúde; Sistema Único de Saúde.</w:t>
            </w:r>
          </w:p>
        </w:tc>
      </w:tr>
      <w:tr w:rsidR="00541BC5" w:rsidRPr="00A96C14" w:rsidTr="00541BC5">
        <w:trPr>
          <w:trHeight w:val="3540"/>
        </w:trPr>
        <w:tc>
          <w:tcPr>
            <w:tcW w:w="1018" w:type="dxa"/>
          </w:tcPr>
          <w:p w:rsidR="00541BC5" w:rsidRPr="00A96C14" w:rsidRDefault="00541BC5" w:rsidP="00541BC5">
            <w:pPr>
              <w:pStyle w:val="TableParagraph"/>
              <w:rPr>
                <w:b/>
                <w:sz w:val="24"/>
              </w:rPr>
            </w:pPr>
          </w:p>
          <w:p w:rsidR="00541BC5" w:rsidRPr="00A96C14" w:rsidRDefault="00541BC5" w:rsidP="00541BC5">
            <w:pPr>
              <w:pStyle w:val="TableParagraph"/>
              <w:rPr>
                <w:b/>
                <w:sz w:val="24"/>
              </w:rPr>
            </w:pPr>
          </w:p>
          <w:p w:rsidR="00541BC5" w:rsidRPr="00A96C14" w:rsidRDefault="00541BC5" w:rsidP="00541BC5">
            <w:pPr>
              <w:pStyle w:val="TableParagraph"/>
              <w:rPr>
                <w:b/>
                <w:sz w:val="24"/>
              </w:rPr>
            </w:pPr>
          </w:p>
          <w:p w:rsidR="00541BC5" w:rsidRPr="00A96C14" w:rsidRDefault="00541BC5" w:rsidP="00541BC5">
            <w:pPr>
              <w:pStyle w:val="TableParagraph"/>
              <w:rPr>
                <w:b/>
                <w:sz w:val="24"/>
              </w:rPr>
            </w:pPr>
          </w:p>
          <w:p w:rsidR="00541BC5" w:rsidRPr="00A96C14" w:rsidRDefault="00541BC5" w:rsidP="00541BC5">
            <w:pPr>
              <w:pStyle w:val="TableParagraph"/>
              <w:spacing w:before="9"/>
              <w:rPr>
                <w:b/>
                <w:sz w:val="35"/>
              </w:rPr>
            </w:pPr>
          </w:p>
          <w:p w:rsidR="00541BC5" w:rsidRPr="00773E4B" w:rsidRDefault="00541BC5" w:rsidP="00541BC5">
            <w:pPr>
              <w:pStyle w:val="TableParagraph"/>
              <w:ind w:left="74" w:right="64" w:firstLine="74"/>
              <w:jc w:val="both"/>
              <w:rPr>
                <w:b/>
              </w:rPr>
            </w:pPr>
            <w:r w:rsidRPr="00773E4B">
              <w:rPr>
                <w:b/>
              </w:rPr>
              <w:t xml:space="preserve">Resumo </w:t>
            </w:r>
          </w:p>
        </w:tc>
        <w:tc>
          <w:tcPr>
            <w:tcW w:w="7634" w:type="dxa"/>
            <w:gridSpan w:val="2"/>
          </w:tcPr>
          <w:p w:rsidR="00541BC5" w:rsidRDefault="00541BC5" w:rsidP="00541BC5">
            <w:pPr>
              <w:jc w:val="both"/>
              <w:rPr>
                <w:rFonts w:ascii="Times New Roman" w:hAnsi="Times New Roman"/>
              </w:rPr>
            </w:pPr>
            <w:r w:rsidRPr="00A96C14">
              <w:rPr>
                <w:rFonts w:ascii="Times New Roman" w:hAnsi="Times New Roman"/>
                <w:b/>
              </w:rPr>
              <w:t>Justificativa:</w:t>
            </w:r>
            <w:r w:rsidRPr="00A96C14">
              <w:rPr>
                <w:rFonts w:ascii="Times New Roman" w:hAnsi="Times New Roman"/>
              </w:rPr>
              <w:t xml:space="preserve"> A auditoria em saúde pode contribuir para um maior controle e otimização dos investimentos dos recursos públicos. O </w:t>
            </w:r>
            <w:r w:rsidRPr="00A96C14">
              <w:rPr>
                <w:rFonts w:ascii="Times New Roman" w:hAnsi="Times New Roman"/>
                <w:b/>
              </w:rPr>
              <w:t>objetivo</w:t>
            </w:r>
            <w:r w:rsidRPr="00A96C14">
              <w:rPr>
                <w:rFonts w:ascii="Times New Roman" w:hAnsi="Times New Roman"/>
              </w:rPr>
              <w:t xml:space="preserve"> do presente trabalho foi a</w:t>
            </w:r>
            <w:r w:rsidRPr="00A96C14">
              <w:rPr>
                <w:rFonts w:ascii="Times New Roman" w:hAnsi="Times New Roman"/>
                <w:color w:val="000000"/>
              </w:rPr>
              <w:t xml:space="preserve">valiar os resultados da auditoria em saúde na área de órteses, próteses e materiais especiais (OPM), cirurgias múltiplas e sequenciais (CMS), realizada pela </w:t>
            </w:r>
            <w:r w:rsidRPr="00A96C14">
              <w:rPr>
                <w:rFonts w:ascii="Times New Roman" w:hAnsi="Times New Roman"/>
              </w:rPr>
              <w:t>Coordenação de Auditoria Médica da Secretaria de Saúde do Estado do Rio Grande do Sul (</w:t>
            </w:r>
            <w:r w:rsidRPr="00A96C14">
              <w:rPr>
                <w:rFonts w:ascii="Times New Roman" w:hAnsi="Times New Roman"/>
                <w:color w:val="000000"/>
              </w:rPr>
              <w:t>CAME/SES/RS</w:t>
            </w:r>
            <w:r w:rsidRPr="00A96C14">
              <w:rPr>
                <w:rFonts w:ascii="Times New Roman" w:hAnsi="Times New Roman"/>
              </w:rPr>
              <w:t xml:space="preserve">). A </w:t>
            </w:r>
            <w:r w:rsidRPr="00A96C14">
              <w:rPr>
                <w:rFonts w:ascii="Times New Roman" w:hAnsi="Times New Roman"/>
                <w:b/>
              </w:rPr>
              <w:t>metodologia</w:t>
            </w:r>
            <w:r w:rsidRPr="00A96C14">
              <w:rPr>
                <w:rFonts w:ascii="Times New Roman" w:hAnsi="Times New Roman"/>
              </w:rPr>
              <w:t xml:space="preserve"> utilizada foi um e</w:t>
            </w:r>
            <w:r w:rsidRPr="00A96C14">
              <w:rPr>
                <w:rFonts w:ascii="Times New Roman" w:hAnsi="Times New Roman"/>
                <w:color w:val="000000"/>
              </w:rPr>
              <w:t xml:space="preserve">studo quantitativo descritivo, baseado em dados secundários da CAME/SES/RS, na </w:t>
            </w:r>
            <w:r w:rsidRPr="00A96C14">
              <w:rPr>
                <w:rFonts w:ascii="Times New Roman" w:hAnsi="Times New Roman"/>
              </w:rPr>
              <w:t>área de OPM e CMS</w:t>
            </w:r>
            <w:r w:rsidRPr="00A96C14">
              <w:rPr>
                <w:rFonts w:ascii="Times New Roman" w:hAnsi="Times New Roman"/>
                <w:color w:val="000000"/>
              </w:rPr>
              <w:t xml:space="preserve">, no período da prática de auditoria de pós-pagamento (março de 2013 a janeiro de 2017), utilizando a abordagem de estudo de caso. </w:t>
            </w:r>
            <w:r w:rsidRPr="00A96C14">
              <w:rPr>
                <w:rFonts w:ascii="Times New Roman" w:hAnsi="Times New Roman"/>
                <w:b/>
              </w:rPr>
              <w:t xml:space="preserve">Resultados: </w:t>
            </w:r>
            <w:r w:rsidRPr="00A96C14">
              <w:rPr>
                <w:rFonts w:ascii="Times New Roman" w:hAnsi="Times New Roman"/>
              </w:rPr>
              <w:t xml:space="preserve">Foram analisadas 1.004 observações concluídas para o período. Observou-se que o número de processos administrativos com ordem de recolhimento não teve uma tendência na série histórica analisada. Isso pode se dever ao aumento de processos administrativos não conclusos a partir de 2014. Quanto ao valor desses processos, foi maior em 2014, decrescendo em 2015 e diminuiu ainda mais nos anos 2016 e 2017. Quanto ao porte hospitalar das instituições que tiveram solicitação de devoluções dos valores pagos na área de OPM e CMS, observa-se que, 38,5% ocorreram em instituições hospitalares de grande porte, 60,4% em instituições hospitalares de médio porte e 1,1% de pequeno porte. Considerando as 30 Regiões de Saúde do RS, percebe-se que três instituições hospitalares tiveram destaque, a primeira com 43 processos administrativos com ordem de recolhimento, a segunda com 30 e a terceira com 28. Como </w:t>
            </w:r>
            <w:r w:rsidRPr="00A96C14">
              <w:rPr>
                <w:rFonts w:ascii="Times New Roman" w:hAnsi="Times New Roman"/>
                <w:b/>
              </w:rPr>
              <w:t>conclusão</w:t>
            </w:r>
            <w:r w:rsidRPr="00A96C14">
              <w:rPr>
                <w:rFonts w:ascii="Times New Roman" w:hAnsi="Times New Roman"/>
              </w:rPr>
              <w:t xml:space="preserve"> aponta-se que a auditoria pós-pagamento foi capaz de identificar ocorrências de necessidade de devolução de recursos nas Regiões de Saúde do Estado do Rio Grande do Sul. Nesse sentido, é importante que as ações de auditoria em saúde, nessa área, possam depreender uma atenção especial para essas Regiões de Saúde e instituições hospitalares.</w:t>
            </w:r>
          </w:p>
          <w:p w:rsidR="00541BC5" w:rsidRPr="00A96C14" w:rsidRDefault="00541BC5" w:rsidP="00541BC5">
            <w:pPr>
              <w:jc w:val="both"/>
              <w:rPr>
                <w:rFonts w:ascii="Times New Roman" w:hAnsi="Times New Roman"/>
              </w:rPr>
            </w:pPr>
          </w:p>
        </w:tc>
      </w:tr>
      <w:tr w:rsidR="00541BC5" w:rsidTr="00541BC5">
        <w:trPr>
          <w:trHeight w:val="760"/>
        </w:trPr>
        <w:tc>
          <w:tcPr>
            <w:tcW w:w="3070" w:type="dxa"/>
            <w:gridSpan w:val="2"/>
          </w:tcPr>
          <w:p w:rsidR="00541BC5" w:rsidRPr="00773E4B" w:rsidRDefault="00541BC5" w:rsidP="00541BC5">
            <w:pPr>
              <w:pStyle w:val="TableParagraph"/>
              <w:spacing w:before="4" w:line="252" w:lineRule="exact"/>
              <w:ind w:left="76" w:right="72" w:firstLine="2"/>
              <w:jc w:val="center"/>
              <w:rPr>
                <w:b/>
              </w:rPr>
            </w:pPr>
            <w:r w:rsidRPr="00773E4B">
              <w:rPr>
                <w:b/>
              </w:rPr>
              <w:t>Instituição financiadora da pesquisa e declaração de conflito de interesse (se aplicável)</w:t>
            </w:r>
          </w:p>
        </w:tc>
        <w:tc>
          <w:tcPr>
            <w:tcW w:w="5582" w:type="dxa"/>
          </w:tcPr>
          <w:p w:rsidR="00541BC5" w:rsidRDefault="00541BC5" w:rsidP="00541BC5">
            <w:pPr>
              <w:pStyle w:val="TableParagraph"/>
            </w:pPr>
          </w:p>
        </w:tc>
      </w:tr>
    </w:tbl>
    <w:p w:rsidR="00541BC5" w:rsidRDefault="00541BC5"/>
    <w:p w:rsidR="00541BC5" w:rsidRDefault="00541BC5" w:rsidP="00FA0F77">
      <w:pPr>
        <w:rPr>
          <w:rStyle w:val="Forte"/>
          <w:rFonts w:ascii="Times New Roman" w:hAnsi="Times New Roman"/>
        </w:rPr>
      </w:pPr>
    </w:p>
    <w:p w:rsidR="00541BC5" w:rsidRDefault="00541BC5" w:rsidP="00FA0F77">
      <w:pPr>
        <w:rPr>
          <w:rStyle w:val="Forte"/>
          <w:rFonts w:ascii="Times New Roman" w:hAnsi="Times New Roman"/>
        </w:rPr>
      </w:pPr>
    </w:p>
    <w:p w:rsidR="00541BC5" w:rsidRDefault="00541BC5" w:rsidP="00FA0F77">
      <w:pPr>
        <w:rPr>
          <w:rStyle w:val="Forte"/>
          <w:rFonts w:ascii="Times New Roman" w:hAnsi="Times New Roman"/>
        </w:rPr>
      </w:pPr>
    </w:p>
    <w:p w:rsidR="00541BC5" w:rsidRDefault="00541BC5" w:rsidP="00FA0F77">
      <w:pPr>
        <w:rPr>
          <w:rStyle w:val="Forte"/>
          <w:rFonts w:ascii="Times New Roman" w:hAnsi="Times New Roman"/>
        </w:rPr>
      </w:pPr>
    </w:p>
    <w:p w:rsidR="00541BC5" w:rsidRDefault="00541BC5" w:rsidP="00FA0F77">
      <w:pPr>
        <w:rPr>
          <w:rStyle w:val="Forte"/>
          <w:rFonts w:ascii="Times New Roman" w:hAnsi="Times New Roman"/>
        </w:rPr>
      </w:pPr>
    </w:p>
    <w:tbl>
      <w:tblPr>
        <w:tblW w:w="5000" w:type="pct"/>
        <w:tblLayout w:type="fixed"/>
        <w:tblCellMar>
          <w:left w:w="70" w:type="dxa"/>
          <w:right w:w="70" w:type="dxa"/>
        </w:tblCellMar>
        <w:tblLook w:val="04A0" w:firstRow="1" w:lastRow="0" w:firstColumn="1" w:lastColumn="0" w:noHBand="0" w:noVBand="1"/>
      </w:tblPr>
      <w:tblGrid>
        <w:gridCol w:w="1085"/>
        <w:gridCol w:w="2183"/>
        <w:gridCol w:w="5943"/>
      </w:tblGrid>
      <w:tr w:rsidR="00541BC5" w:rsidRPr="00EB2D7E" w:rsidTr="00F36582">
        <w:trPr>
          <w:trHeight w:val="263"/>
        </w:trPr>
        <w:tc>
          <w:tcPr>
            <w:tcW w:w="5000" w:type="pct"/>
            <w:gridSpan w:val="3"/>
            <w:tcBorders>
              <w:top w:val="single" w:sz="4" w:space="0" w:color="auto"/>
              <w:left w:val="single" w:sz="4" w:space="0" w:color="auto"/>
              <w:bottom w:val="single" w:sz="4" w:space="0" w:color="auto"/>
              <w:right w:val="single" w:sz="4" w:space="0" w:color="auto"/>
            </w:tcBorders>
            <w:shd w:val="clear" w:color="000000" w:fill="C0C0C0"/>
            <w:vAlign w:val="center"/>
          </w:tcPr>
          <w:p w:rsidR="00541BC5" w:rsidRPr="00EB2D7E" w:rsidRDefault="00541BC5" w:rsidP="00F36582">
            <w:pPr>
              <w:jc w:val="center"/>
              <w:rPr>
                <w:rFonts w:ascii="Times New Roman" w:hAnsi="Times New Roman"/>
                <w:color w:val="000000"/>
                <w:lang w:eastAsia="es-CO"/>
              </w:rPr>
            </w:pPr>
            <w:r w:rsidRPr="004003A1">
              <w:rPr>
                <w:rFonts w:cstheme="minorHAnsi"/>
                <w:b/>
                <w:sz w:val="21"/>
                <w:szCs w:val="21"/>
              </w:rPr>
              <w:t xml:space="preserve">Pôsteres - Sessão </w:t>
            </w:r>
            <w:proofErr w:type="gramStart"/>
            <w:r w:rsidRPr="004003A1">
              <w:rPr>
                <w:rFonts w:cstheme="minorHAnsi"/>
                <w:b/>
                <w:sz w:val="21"/>
                <w:szCs w:val="21"/>
              </w:rPr>
              <w:t>1</w:t>
            </w:r>
            <w:proofErr w:type="gramEnd"/>
            <w:r w:rsidRPr="004003A1">
              <w:rPr>
                <w:rFonts w:cstheme="minorHAnsi"/>
                <w:b/>
                <w:sz w:val="21"/>
                <w:szCs w:val="21"/>
              </w:rPr>
              <w:t>: Financiamento e Gestão Financeira do SUS</w:t>
            </w:r>
          </w:p>
        </w:tc>
      </w:tr>
      <w:tr w:rsidR="00541BC5" w:rsidRPr="00EB2D7E" w:rsidTr="00F8487B">
        <w:trPr>
          <w:trHeight w:val="263"/>
        </w:trPr>
        <w:tc>
          <w:tcPr>
            <w:tcW w:w="5000" w:type="pct"/>
            <w:gridSpan w:val="3"/>
            <w:tcBorders>
              <w:top w:val="nil"/>
              <w:left w:val="single" w:sz="4" w:space="0" w:color="auto"/>
              <w:bottom w:val="single" w:sz="4" w:space="0" w:color="auto"/>
              <w:right w:val="single" w:sz="4" w:space="0" w:color="auto"/>
            </w:tcBorders>
            <w:shd w:val="clear" w:color="000000" w:fill="C0C0C0"/>
            <w:vAlign w:val="center"/>
            <w:hideMark/>
          </w:tcPr>
          <w:p w:rsidR="00541BC5" w:rsidRDefault="00541BC5" w:rsidP="00F36582">
            <w:pPr>
              <w:jc w:val="center"/>
              <w:rPr>
                <w:rFonts w:ascii="Times New Roman" w:hAnsi="Times New Roman"/>
              </w:rPr>
            </w:pPr>
            <w:r w:rsidRPr="00B13318">
              <w:rPr>
                <w:rFonts w:ascii="Times New Roman" w:hAnsi="Times New Roman"/>
              </w:rPr>
              <w:t>Autor</w:t>
            </w:r>
            <w:r>
              <w:rPr>
                <w:rFonts w:ascii="Times New Roman" w:hAnsi="Times New Roman"/>
              </w:rPr>
              <w:t>(</w:t>
            </w:r>
            <w:r w:rsidRPr="00B13318">
              <w:rPr>
                <w:rFonts w:ascii="Times New Roman" w:hAnsi="Times New Roman"/>
              </w:rPr>
              <w:t>es</w:t>
            </w:r>
            <w:r>
              <w:rPr>
                <w:rFonts w:ascii="Times New Roman" w:hAnsi="Times New Roman"/>
              </w:rPr>
              <w:t>) e instituição(</w:t>
            </w:r>
            <w:proofErr w:type="spellStart"/>
            <w:r>
              <w:rPr>
                <w:rFonts w:ascii="Times New Roman" w:hAnsi="Times New Roman"/>
              </w:rPr>
              <w:t>ões</w:t>
            </w:r>
            <w:proofErr w:type="spellEnd"/>
            <w:r>
              <w:rPr>
                <w:rFonts w:ascii="Times New Roman" w:hAnsi="Times New Roman"/>
              </w:rPr>
              <w:t>):</w:t>
            </w:r>
          </w:p>
          <w:p w:rsidR="00541BC5" w:rsidRPr="008F5240" w:rsidRDefault="00541BC5" w:rsidP="00F36582">
            <w:pPr>
              <w:jc w:val="center"/>
              <w:rPr>
                <w:rFonts w:ascii="Times New Roman" w:hAnsi="Times New Roman"/>
                <w:color w:val="000000"/>
                <w:lang w:eastAsia="es-CO"/>
              </w:rPr>
            </w:pPr>
            <w:r w:rsidRPr="008F5240">
              <w:rPr>
                <w:rFonts w:ascii="Times New Roman" w:hAnsi="Times New Roman"/>
                <w:szCs w:val="21"/>
                <w:u w:val="single"/>
              </w:rPr>
              <w:t>Adilson Soares</w:t>
            </w:r>
            <w:r w:rsidRPr="008F5240">
              <w:rPr>
                <w:rFonts w:ascii="Times New Roman" w:hAnsi="Times New Roman"/>
                <w:szCs w:val="21"/>
              </w:rPr>
              <w:t xml:space="preserve"> - Economista, especialista em finanças, orçamento, administração e saúde pública, doutor em saúde coletiva pela Unicamp, professor de políticas de saúde e economia da saúde no Programa de Pós Graduação em Ciências da SES/SP, membro da </w:t>
            </w:r>
            <w:proofErr w:type="spellStart"/>
            <w:r w:rsidRPr="008F5240">
              <w:rPr>
                <w:rFonts w:ascii="Times New Roman" w:hAnsi="Times New Roman"/>
                <w:szCs w:val="21"/>
              </w:rPr>
              <w:t>ABrES</w:t>
            </w:r>
            <w:proofErr w:type="spellEnd"/>
            <w:r w:rsidRPr="008F5240">
              <w:rPr>
                <w:rFonts w:ascii="Times New Roman" w:hAnsi="Times New Roman"/>
                <w:szCs w:val="21"/>
              </w:rPr>
              <w:t xml:space="preserve"> e da ABRASCO; </w:t>
            </w:r>
            <w:proofErr w:type="spellStart"/>
            <w:r w:rsidRPr="008F5240">
              <w:rPr>
                <w:rFonts w:ascii="Times New Roman" w:hAnsi="Times New Roman"/>
                <w:szCs w:val="21"/>
              </w:rPr>
              <w:t>Sayuri</w:t>
            </w:r>
            <w:proofErr w:type="spellEnd"/>
            <w:r w:rsidRPr="008F5240">
              <w:rPr>
                <w:rFonts w:ascii="Times New Roman" w:hAnsi="Times New Roman"/>
                <w:szCs w:val="21"/>
              </w:rPr>
              <w:t xml:space="preserve"> Tanaka – Enfermeira, Economista, Professora Livre Docente da Escola de Enfermagem da Universidade de São Paulo, membro </w:t>
            </w:r>
            <w:proofErr w:type="spellStart"/>
            <w:r w:rsidRPr="008F5240">
              <w:rPr>
                <w:rFonts w:ascii="Times New Roman" w:hAnsi="Times New Roman"/>
                <w:szCs w:val="21"/>
              </w:rPr>
              <w:t>ABrES</w:t>
            </w:r>
            <w:proofErr w:type="spellEnd"/>
            <w:r w:rsidRPr="008F5240">
              <w:rPr>
                <w:rFonts w:ascii="Times New Roman" w:hAnsi="Times New Roman"/>
                <w:szCs w:val="21"/>
              </w:rPr>
              <w:t>.</w:t>
            </w:r>
          </w:p>
        </w:tc>
      </w:tr>
      <w:tr w:rsidR="00541BC5" w:rsidRPr="00EB2D7E" w:rsidTr="00F36582">
        <w:trPr>
          <w:trHeight w:val="30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541BC5" w:rsidRPr="008F5240" w:rsidRDefault="00541BC5" w:rsidP="00EB2D7E">
            <w:pPr>
              <w:jc w:val="center"/>
              <w:rPr>
                <w:rFonts w:ascii="Times New Roman" w:hAnsi="Times New Roman"/>
                <w:b/>
                <w:color w:val="000000"/>
                <w:lang w:eastAsia="es-CO"/>
              </w:rPr>
            </w:pPr>
            <w:r w:rsidRPr="008F5240">
              <w:rPr>
                <w:rFonts w:ascii="Times New Roman" w:hAnsi="Times New Roman"/>
                <w:b/>
                <w:color w:val="000000"/>
                <w:lang w:eastAsia="es-CO"/>
              </w:rPr>
              <w:t xml:space="preserve">Título </w:t>
            </w:r>
          </w:p>
        </w:tc>
        <w:tc>
          <w:tcPr>
            <w:tcW w:w="4411" w:type="pct"/>
            <w:gridSpan w:val="2"/>
            <w:tcBorders>
              <w:top w:val="single" w:sz="4" w:space="0" w:color="auto"/>
              <w:left w:val="nil"/>
              <w:bottom w:val="single" w:sz="4" w:space="0" w:color="auto"/>
              <w:right w:val="single" w:sz="4" w:space="0" w:color="auto"/>
            </w:tcBorders>
            <w:shd w:val="clear" w:color="000000" w:fill="FFFFFF"/>
            <w:vAlign w:val="center"/>
            <w:hideMark/>
          </w:tcPr>
          <w:p w:rsidR="00541BC5" w:rsidRPr="006B6DF1" w:rsidRDefault="00541BC5" w:rsidP="006B6DF1">
            <w:pPr>
              <w:jc w:val="both"/>
              <w:rPr>
                <w:rFonts w:ascii="Times New Roman" w:hAnsi="Times New Roman"/>
              </w:rPr>
            </w:pPr>
            <w:r w:rsidRPr="006B6DF1">
              <w:rPr>
                <w:rFonts w:ascii="Times New Roman" w:hAnsi="Times New Roman"/>
              </w:rPr>
              <w:t>O Instituído na Política de saúde no Brasil: o paradigma de financiamento da Atenção Primária à Saúde.</w:t>
            </w:r>
          </w:p>
          <w:p w:rsidR="00541BC5" w:rsidRPr="00980902" w:rsidRDefault="00541BC5" w:rsidP="006B6DF1">
            <w:pPr>
              <w:jc w:val="both"/>
              <w:rPr>
                <w:rFonts w:ascii="Times New Roman" w:hAnsi="Times New Roman"/>
              </w:rPr>
            </w:pPr>
          </w:p>
        </w:tc>
      </w:tr>
      <w:tr w:rsidR="00541BC5" w:rsidRPr="00EB2D7E" w:rsidTr="00F36582">
        <w:trPr>
          <w:trHeight w:val="30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541BC5" w:rsidRPr="008F5240" w:rsidRDefault="00541BC5" w:rsidP="00EB2D7E">
            <w:pPr>
              <w:jc w:val="center"/>
              <w:rPr>
                <w:rFonts w:ascii="Times New Roman" w:hAnsi="Times New Roman"/>
                <w:b/>
                <w:color w:val="000000"/>
                <w:lang w:eastAsia="es-CO"/>
              </w:rPr>
            </w:pPr>
            <w:r w:rsidRPr="008F5240">
              <w:rPr>
                <w:rFonts w:ascii="Times New Roman" w:hAnsi="Times New Roman"/>
                <w:b/>
                <w:color w:val="000000"/>
                <w:lang w:eastAsia="es-CO"/>
              </w:rPr>
              <w:t xml:space="preserve">Palavras-chave </w:t>
            </w:r>
          </w:p>
        </w:tc>
        <w:tc>
          <w:tcPr>
            <w:tcW w:w="4411" w:type="pct"/>
            <w:gridSpan w:val="2"/>
            <w:tcBorders>
              <w:top w:val="single" w:sz="4" w:space="0" w:color="auto"/>
              <w:left w:val="nil"/>
              <w:bottom w:val="single" w:sz="4" w:space="0" w:color="auto"/>
              <w:right w:val="single" w:sz="4" w:space="0" w:color="auto"/>
            </w:tcBorders>
            <w:shd w:val="clear" w:color="000000" w:fill="FFFFFF"/>
            <w:vAlign w:val="center"/>
            <w:hideMark/>
          </w:tcPr>
          <w:p w:rsidR="00541BC5" w:rsidRPr="006B6DF1" w:rsidRDefault="00541BC5" w:rsidP="006B6DF1">
            <w:pPr>
              <w:jc w:val="both"/>
              <w:rPr>
                <w:rFonts w:ascii="Times New Roman" w:hAnsi="Times New Roman"/>
              </w:rPr>
            </w:pPr>
            <w:r w:rsidRPr="006B6DF1">
              <w:rPr>
                <w:rFonts w:ascii="Times New Roman" w:hAnsi="Times New Roman"/>
              </w:rPr>
              <w:t>atenção primária à saúde, gastos em saúde, Sistema Único de Saúde, política de saúde.</w:t>
            </w:r>
          </w:p>
          <w:p w:rsidR="00541BC5" w:rsidRPr="0074092C" w:rsidRDefault="00541BC5" w:rsidP="00EB2D7E">
            <w:pPr>
              <w:rPr>
                <w:rFonts w:ascii="Times New Roman" w:hAnsi="Times New Roman"/>
                <w:lang w:eastAsia="es-CO"/>
              </w:rPr>
            </w:pPr>
          </w:p>
        </w:tc>
      </w:tr>
      <w:tr w:rsidR="00541BC5" w:rsidRPr="00EB2D7E" w:rsidTr="00F36582">
        <w:trPr>
          <w:trHeight w:val="300"/>
        </w:trPr>
        <w:tc>
          <w:tcPr>
            <w:tcW w:w="589" w:type="pct"/>
            <w:tcBorders>
              <w:top w:val="nil"/>
              <w:left w:val="single" w:sz="4" w:space="0" w:color="auto"/>
              <w:bottom w:val="single" w:sz="4" w:space="0" w:color="auto"/>
              <w:right w:val="single" w:sz="4" w:space="0" w:color="auto"/>
            </w:tcBorders>
            <w:shd w:val="clear" w:color="000000" w:fill="FFFFFF"/>
            <w:vAlign w:val="center"/>
            <w:hideMark/>
          </w:tcPr>
          <w:p w:rsidR="00541BC5" w:rsidRPr="00EB2D7E" w:rsidRDefault="00541BC5" w:rsidP="00EB2D7E">
            <w:pPr>
              <w:jc w:val="center"/>
              <w:rPr>
                <w:rFonts w:ascii="Times New Roman" w:hAnsi="Times New Roman"/>
                <w:color w:val="000000"/>
                <w:lang w:eastAsia="es-CO"/>
              </w:rPr>
            </w:pPr>
          </w:p>
          <w:p w:rsidR="00541BC5" w:rsidRPr="00EB2D7E" w:rsidRDefault="00541BC5" w:rsidP="00EB2D7E">
            <w:pPr>
              <w:jc w:val="center"/>
              <w:rPr>
                <w:rFonts w:ascii="Times New Roman" w:hAnsi="Times New Roman"/>
                <w:color w:val="000000"/>
                <w:lang w:eastAsia="es-CO"/>
              </w:rPr>
            </w:pPr>
          </w:p>
          <w:p w:rsidR="00541BC5" w:rsidRPr="00EB2D7E" w:rsidRDefault="00541BC5" w:rsidP="00EB2D7E">
            <w:pPr>
              <w:jc w:val="center"/>
              <w:rPr>
                <w:rFonts w:ascii="Times New Roman" w:hAnsi="Times New Roman"/>
                <w:color w:val="000000"/>
                <w:lang w:eastAsia="es-CO"/>
              </w:rPr>
            </w:pPr>
          </w:p>
          <w:p w:rsidR="00541BC5" w:rsidRPr="00EB2D7E" w:rsidRDefault="00541BC5" w:rsidP="00EB2D7E">
            <w:pPr>
              <w:jc w:val="center"/>
              <w:rPr>
                <w:rFonts w:ascii="Times New Roman" w:hAnsi="Times New Roman"/>
                <w:color w:val="000000"/>
                <w:lang w:eastAsia="es-CO"/>
              </w:rPr>
            </w:pPr>
          </w:p>
          <w:p w:rsidR="00541BC5" w:rsidRPr="00EB2D7E" w:rsidRDefault="00541BC5" w:rsidP="00EB2D7E">
            <w:pPr>
              <w:jc w:val="center"/>
              <w:rPr>
                <w:rFonts w:ascii="Times New Roman" w:hAnsi="Times New Roman"/>
                <w:color w:val="000000"/>
                <w:lang w:eastAsia="es-CO"/>
              </w:rPr>
            </w:pPr>
          </w:p>
          <w:p w:rsidR="00541BC5" w:rsidRPr="00EB2D7E" w:rsidRDefault="00541BC5" w:rsidP="00EB2D7E">
            <w:pPr>
              <w:jc w:val="center"/>
              <w:rPr>
                <w:rFonts w:ascii="Times New Roman" w:hAnsi="Times New Roman"/>
                <w:color w:val="000000"/>
                <w:lang w:eastAsia="es-CO"/>
              </w:rPr>
            </w:pPr>
          </w:p>
          <w:p w:rsidR="00541BC5" w:rsidRPr="008F5240" w:rsidRDefault="00541BC5" w:rsidP="00EB2D7E">
            <w:pPr>
              <w:jc w:val="center"/>
              <w:rPr>
                <w:rFonts w:ascii="Times New Roman" w:hAnsi="Times New Roman"/>
                <w:b/>
                <w:color w:val="000000"/>
                <w:lang w:eastAsia="es-CO"/>
              </w:rPr>
            </w:pPr>
            <w:r w:rsidRPr="008F5240">
              <w:rPr>
                <w:rFonts w:ascii="Times New Roman" w:hAnsi="Times New Roman"/>
                <w:b/>
                <w:color w:val="000000"/>
                <w:lang w:eastAsia="es-CO"/>
              </w:rPr>
              <w:t xml:space="preserve">Resumo </w:t>
            </w:r>
          </w:p>
          <w:p w:rsidR="00541BC5" w:rsidRPr="00EB2D7E" w:rsidRDefault="00541BC5" w:rsidP="00EB2D7E">
            <w:pPr>
              <w:jc w:val="center"/>
              <w:rPr>
                <w:rFonts w:ascii="Times New Roman" w:hAnsi="Times New Roman"/>
                <w:color w:val="000000"/>
                <w:lang w:eastAsia="es-CO"/>
              </w:rPr>
            </w:pPr>
          </w:p>
          <w:p w:rsidR="00541BC5" w:rsidRPr="00EB2D7E" w:rsidRDefault="00541BC5" w:rsidP="00EB2D7E">
            <w:pPr>
              <w:rPr>
                <w:rFonts w:ascii="Times New Roman" w:hAnsi="Times New Roman"/>
                <w:color w:val="000000"/>
                <w:lang w:eastAsia="es-CO"/>
              </w:rPr>
            </w:pPr>
          </w:p>
          <w:p w:rsidR="00541BC5" w:rsidRPr="00EB2D7E" w:rsidRDefault="00541BC5" w:rsidP="00EB2D7E">
            <w:pPr>
              <w:jc w:val="center"/>
              <w:rPr>
                <w:rFonts w:ascii="Times New Roman" w:hAnsi="Times New Roman"/>
                <w:color w:val="000000"/>
                <w:lang w:eastAsia="es-CO"/>
              </w:rPr>
            </w:pPr>
          </w:p>
          <w:p w:rsidR="00541BC5" w:rsidRPr="00EB2D7E" w:rsidRDefault="00541BC5" w:rsidP="00EB2D7E">
            <w:pPr>
              <w:jc w:val="center"/>
              <w:rPr>
                <w:rFonts w:ascii="Times New Roman" w:hAnsi="Times New Roman"/>
                <w:color w:val="000000"/>
                <w:lang w:eastAsia="es-CO"/>
              </w:rPr>
            </w:pPr>
          </w:p>
          <w:p w:rsidR="00541BC5" w:rsidRPr="00EB2D7E" w:rsidRDefault="00541BC5" w:rsidP="00EB2D7E">
            <w:pPr>
              <w:jc w:val="center"/>
              <w:rPr>
                <w:rFonts w:ascii="Times New Roman" w:hAnsi="Times New Roman"/>
                <w:color w:val="000000"/>
                <w:lang w:eastAsia="es-CO"/>
              </w:rPr>
            </w:pPr>
          </w:p>
        </w:tc>
        <w:tc>
          <w:tcPr>
            <w:tcW w:w="4411" w:type="pct"/>
            <w:gridSpan w:val="2"/>
            <w:tcBorders>
              <w:top w:val="single" w:sz="4" w:space="0" w:color="auto"/>
              <w:left w:val="nil"/>
              <w:bottom w:val="single" w:sz="4" w:space="0" w:color="auto"/>
              <w:right w:val="single" w:sz="4" w:space="0" w:color="auto"/>
            </w:tcBorders>
            <w:shd w:val="clear" w:color="000000" w:fill="FFFFFF"/>
            <w:vAlign w:val="center"/>
            <w:hideMark/>
          </w:tcPr>
          <w:p w:rsidR="00541BC5" w:rsidRDefault="00541BC5" w:rsidP="00CD64A8">
            <w:pPr>
              <w:jc w:val="both"/>
              <w:rPr>
                <w:rFonts w:ascii="Times New Roman" w:hAnsi="Times New Roman"/>
              </w:rPr>
            </w:pPr>
            <w:r w:rsidRPr="00D41CDC">
              <w:rPr>
                <w:rFonts w:ascii="Times New Roman" w:hAnsi="Times New Roman"/>
              </w:rPr>
              <w:t>O Brasil adotou um modelo de saúde, defendido na Conferência de Alma-Ata, que privilegia a Atenção Primária a Saúde (APS) e ambiciona que este modelo seja coordenador do cuidado integral e ordenador da rede de atenção. A partir da necessidade de alocação de recursos disponíveis para financiamento desse sistema constituído, o objetivo do estudo é analisar o instituído na política pública de saúde no Brasil, a partir do olhar para os investimentos realizados nos serviços públicos de saúde com ênfase na APS, e</w:t>
            </w:r>
            <w:r w:rsidRPr="00D41CDC">
              <w:rPr>
                <w:rFonts w:ascii="Times New Roman" w:eastAsia="Arial Unicode MS" w:hAnsi="Times New Roman"/>
              </w:rPr>
              <w:t xml:space="preserve"> examinar se esse investimento reflete a prioridade política atribuída a APS</w:t>
            </w:r>
            <w:r w:rsidRPr="00D41CDC">
              <w:rPr>
                <w:rFonts w:ascii="Times New Roman" w:hAnsi="Times New Roman"/>
              </w:rPr>
              <w:t xml:space="preserve">. </w:t>
            </w:r>
            <w:r w:rsidRPr="00D41CDC">
              <w:rPr>
                <w:rFonts w:ascii="Times New Roman" w:eastAsia="Arial Unicode MS" w:hAnsi="Times New Roman"/>
              </w:rPr>
              <w:t>A pesquisa, que utilizou a metodologia exploratória, se apoiou no referencial teórico e nos pressupostos da hermenêutica crítica</w:t>
            </w:r>
            <w:r w:rsidRPr="00D41CDC">
              <w:rPr>
                <w:rFonts w:ascii="Times New Roman" w:hAnsi="Times New Roman"/>
              </w:rPr>
              <w:t xml:space="preserve">, e </w:t>
            </w:r>
            <w:r w:rsidRPr="00D41CDC">
              <w:rPr>
                <w:rFonts w:ascii="Times New Roman" w:eastAsia="Arial Unicode MS" w:hAnsi="Times New Roman"/>
              </w:rPr>
              <w:t>t</w:t>
            </w:r>
            <w:r w:rsidRPr="00D41CDC">
              <w:rPr>
                <w:rFonts w:ascii="Times New Roman" w:hAnsi="Times New Roman"/>
              </w:rPr>
              <w:t>omou como eixo de análise a APS</w:t>
            </w:r>
            <w:r w:rsidRPr="00D41CDC">
              <w:rPr>
                <w:rFonts w:ascii="Times New Roman" w:eastAsia="Arial Unicode MS" w:hAnsi="Times New Roman"/>
              </w:rPr>
              <w:t xml:space="preserve">. </w:t>
            </w:r>
            <w:r w:rsidRPr="00D41CDC">
              <w:rPr>
                <w:rFonts w:ascii="Times New Roman" w:hAnsi="Times New Roman"/>
              </w:rPr>
              <w:t>Os resultados evidenciam uma tendência de queda na participação relativa dos gastos com APS nos gastos totais com saúde, de 31,53% em 2012 para 29,74% em 2016. O estudo assinala a insustentabilidade da política de APS no Brasil, na medida em que se observa uma redução dos gastos com saúde da União (6,10%) e dos Estados (2,29%), neste nível de atenção, e um aumento do gasto com saúde em ações de APS por parte dos Municípios (9,02%), mas inferior ao aumento dos gastos com a atenção de Média e Alta Complexidade (27,68%). Conclui-se que é necessário a rediscussão das politicas públicas de saúde no Brasil, que definiu a Atenção Primária a Saúde como prioritária</w:t>
            </w:r>
            <w:proofErr w:type="gramStart"/>
            <w:r w:rsidRPr="00D41CDC">
              <w:rPr>
                <w:rFonts w:ascii="Times New Roman" w:hAnsi="Times New Roman"/>
              </w:rPr>
              <w:t xml:space="preserve"> mas</w:t>
            </w:r>
            <w:proofErr w:type="gramEnd"/>
            <w:r w:rsidRPr="00D41CDC">
              <w:rPr>
                <w:rFonts w:ascii="Times New Roman" w:hAnsi="Times New Roman"/>
              </w:rPr>
              <w:t xml:space="preserve"> não sustentou essa política com recursos regulares e suficientes nos últimos anos.</w:t>
            </w:r>
          </w:p>
          <w:p w:rsidR="00541BC5" w:rsidRPr="00E82D1C" w:rsidRDefault="00541BC5" w:rsidP="00CD64A8">
            <w:pPr>
              <w:jc w:val="both"/>
              <w:rPr>
                <w:rFonts w:ascii="Times New Roman" w:hAnsi="Times New Roman"/>
                <w:lang w:eastAsia="es-CO"/>
              </w:rPr>
            </w:pPr>
          </w:p>
        </w:tc>
      </w:tr>
      <w:tr w:rsidR="00541BC5" w:rsidRPr="00EB2D7E" w:rsidTr="00F36582">
        <w:trPr>
          <w:trHeight w:val="300"/>
        </w:trPr>
        <w:tc>
          <w:tcPr>
            <w:tcW w:w="1774" w:type="pct"/>
            <w:gridSpan w:val="2"/>
            <w:tcBorders>
              <w:top w:val="nil"/>
              <w:left w:val="single" w:sz="4" w:space="0" w:color="auto"/>
              <w:bottom w:val="single" w:sz="4" w:space="0" w:color="auto"/>
              <w:right w:val="single" w:sz="4" w:space="0" w:color="auto"/>
            </w:tcBorders>
            <w:shd w:val="clear" w:color="000000" w:fill="FFFFFF"/>
            <w:vAlign w:val="center"/>
            <w:hideMark/>
          </w:tcPr>
          <w:p w:rsidR="00541BC5" w:rsidRPr="008F5240" w:rsidRDefault="00541BC5" w:rsidP="00EB2D7E">
            <w:pPr>
              <w:jc w:val="center"/>
              <w:rPr>
                <w:rFonts w:ascii="Times New Roman" w:hAnsi="Times New Roman"/>
                <w:b/>
                <w:lang w:eastAsia="es-CO"/>
              </w:rPr>
            </w:pPr>
            <w:r w:rsidRPr="008F5240">
              <w:rPr>
                <w:rFonts w:ascii="Times New Roman" w:hAnsi="Times New Roman"/>
                <w:b/>
                <w:lang w:eastAsia="es-CO"/>
              </w:rPr>
              <w:t>Instituição financiadora da pesquisa e declaração de conflito de interesse (se aplicável)</w:t>
            </w:r>
          </w:p>
        </w:tc>
        <w:tc>
          <w:tcPr>
            <w:tcW w:w="3226" w:type="pct"/>
            <w:tcBorders>
              <w:top w:val="single" w:sz="4" w:space="0" w:color="auto"/>
              <w:left w:val="nil"/>
              <w:bottom w:val="single" w:sz="4" w:space="0" w:color="auto"/>
              <w:right w:val="single" w:sz="4" w:space="0" w:color="auto"/>
            </w:tcBorders>
            <w:shd w:val="clear" w:color="000000" w:fill="FFFFFF"/>
            <w:vAlign w:val="center"/>
            <w:hideMark/>
          </w:tcPr>
          <w:p w:rsidR="00541BC5" w:rsidRDefault="00541BC5" w:rsidP="006B6DF1">
            <w:pPr>
              <w:rPr>
                <w:rFonts w:ascii="Times New Roman" w:hAnsi="Times New Roman"/>
                <w:color w:val="000000"/>
                <w:lang w:eastAsia="es-CO"/>
              </w:rPr>
            </w:pPr>
          </w:p>
          <w:p w:rsidR="00541BC5" w:rsidRPr="00EB2D7E" w:rsidRDefault="00541BC5" w:rsidP="006B6DF1">
            <w:pPr>
              <w:rPr>
                <w:rFonts w:ascii="Times New Roman" w:hAnsi="Times New Roman"/>
                <w:color w:val="000000"/>
                <w:lang w:eastAsia="es-CO"/>
              </w:rPr>
            </w:pPr>
            <w:r>
              <w:rPr>
                <w:rFonts w:ascii="Times New Roman" w:hAnsi="Times New Roman"/>
                <w:color w:val="000000"/>
                <w:lang w:eastAsia="es-CO"/>
              </w:rPr>
              <w:t>Não há conflito de interesse</w:t>
            </w:r>
          </w:p>
          <w:p w:rsidR="00541BC5" w:rsidRPr="0074092C" w:rsidRDefault="00541BC5" w:rsidP="00EB2D7E">
            <w:pPr>
              <w:rPr>
                <w:rFonts w:ascii="Times New Roman" w:hAnsi="Times New Roman"/>
                <w:lang w:eastAsia="es-CO"/>
              </w:rPr>
            </w:pPr>
          </w:p>
        </w:tc>
      </w:tr>
    </w:tbl>
    <w:p w:rsidR="00541BC5" w:rsidRDefault="00541BC5" w:rsidP="00EB2D7E">
      <w:pPr>
        <w:shd w:val="clear" w:color="auto" w:fill="FFFFFF"/>
        <w:spacing w:after="120"/>
      </w:pPr>
    </w:p>
    <w:p w:rsidR="00541BC5" w:rsidRDefault="00541BC5" w:rsidP="00EB2D7E">
      <w:pPr>
        <w:shd w:val="clear" w:color="auto" w:fill="FFFFFF"/>
        <w:spacing w:after="120"/>
      </w:pPr>
    </w:p>
    <w:p w:rsidR="00541BC5" w:rsidRDefault="00541BC5" w:rsidP="00EB2D7E">
      <w:pPr>
        <w:shd w:val="clear" w:color="auto" w:fill="FFFFFF"/>
        <w:spacing w:after="120"/>
      </w:pPr>
    </w:p>
    <w:p w:rsidR="00541BC5" w:rsidRDefault="00541BC5" w:rsidP="00EB2D7E">
      <w:pPr>
        <w:shd w:val="clear" w:color="auto" w:fill="FFFFFF"/>
        <w:spacing w:after="120"/>
      </w:pPr>
    </w:p>
    <w:p w:rsidR="00541BC5" w:rsidRDefault="00541BC5" w:rsidP="00EB2D7E">
      <w:pPr>
        <w:shd w:val="clear" w:color="auto" w:fill="FFFFFF"/>
        <w:spacing w:after="120"/>
      </w:pPr>
    </w:p>
    <w:p w:rsidR="00541BC5" w:rsidRDefault="00541BC5" w:rsidP="00EB2D7E">
      <w:pPr>
        <w:shd w:val="clear" w:color="auto" w:fill="FFFFFF"/>
        <w:spacing w:after="120"/>
      </w:pPr>
    </w:p>
    <w:p w:rsidR="0061268B" w:rsidRPr="00EB2D7E" w:rsidRDefault="0061268B" w:rsidP="00EB2D7E">
      <w:pPr>
        <w:shd w:val="clear" w:color="auto" w:fill="FFFFFF"/>
        <w:spacing w:after="120"/>
      </w:pPr>
    </w:p>
    <w:tbl>
      <w:tblPr>
        <w:tblpPr w:leftFromText="141" w:rightFromText="141" w:vertAnchor="text" w:horzAnchor="margin" w:tblpY="655"/>
        <w:tblW w:w="5000" w:type="pct"/>
        <w:tblLayout w:type="fixed"/>
        <w:tblCellMar>
          <w:left w:w="70" w:type="dxa"/>
          <w:right w:w="70" w:type="dxa"/>
        </w:tblCellMar>
        <w:tblLook w:val="04A0" w:firstRow="1" w:lastRow="0" w:firstColumn="1" w:lastColumn="0" w:noHBand="0" w:noVBand="1"/>
      </w:tblPr>
      <w:tblGrid>
        <w:gridCol w:w="1089"/>
        <w:gridCol w:w="6538"/>
        <w:gridCol w:w="1584"/>
      </w:tblGrid>
      <w:tr w:rsidR="00541BC5" w:rsidRPr="00EB2D7E" w:rsidTr="00541BC5">
        <w:trPr>
          <w:trHeight w:val="263"/>
        </w:trPr>
        <w:tc>
          <w:tcPr>
            <w:tcW w:w="5000" w:type="pct"/>
            <w:gridSpan w:val="3"/>
            <w:tcBorders>
              <w:top w:val="single" w:sz="4" w:space="0" w:color="auto"/>
              <w:left w:val="single" w:sz="4" w:space="0" w:color="auto"/>
              <w:bottom w:val="single" w:sz="4" w:space="0" w:color="auto"/>
              <w:right w:val="single" w:sz="4" w:space="0" w:color="auto"/>
            </w:tcBorders>
            <w:shd w:val="clear" w:color="000000" w:fill="C0C0C0"/>
            <w:vAlign w:val="center"/>
          </w:tcPr>
          <w:p w:rsidR="00541BC5" w:rsidRPr="00EB2D7E" w:rsidRDefault="00541BC5" w:rsidP="00541BC5">
            <w:pPr>
              <w:jc w:val="center"/>
              <w:rPr>
                <w:rFonts w:ascii="Times New Roman" w:hAnsi="Times New Roman"/>
                <w:color w:val="000000"/>
                <w:lang w:eastAsia="es-CO"/>
              </w:rPr>
            </w:pPr>
            <w:r w:rsidRPr="004003A1">
              <w:rPr>
                <w:rFonts w:cstheme="minorHAnsi"/>
                <w:b/>
                <w:sz w:val="21"/>
                <w:szCs w:val="21"/>
              </w:rPr>
              <w:lastRenderedPageBreak/>
              <w:t xml:space="preserve">Pôsteres - Sessão </w:t>
            </w:r>
            <w:proofErr w:type="gramStart"/>
            <w:r w:rsidRPr="004003A1">
              <w:rPr>
                <w:rFonts w:cstheme="minorHAnsi"/>
                <w:b/>
                <w:sz w:val="21"/>
                <w:szCs w:val="21"/>
              </w:rPr>
              <w:t>1</w:t>
            </w:r>
            <w:proofErr w:type="gramEnd"/>
            <w:r w:rsidRPr="004003A1">
              <w:rPr>
                <w:rFonts w:cstheme="minorHAnsi"/>
                <w:b/>
                <w:sz w:val="21"/>
                <w:szCs w:val="21"/>
              </w:rPr>
              <w:t>: Financiamento e Gestão Financeira do SUS</w:t>
            </w:r>
          </w:p>
        </w:tc>
      </w:tr>
      <w:tr w:rsidR="00541BC5" w:rsidRPr="00EB2D7E" w:rsidTr="00541BC5">
        <w:trPr>
          <w:trHeight w:val="263"/>
        </w:trPr>
        <w:tc>
          <w:tcPr>
            <w:tcW w:w="5000" w:type="pct"/>
            <w:gridSpan w:val="3"/>
            <w:tcBorders>
              <w:top w:val="nil"/>
              <w:left w:val="single" w:sz="4" w:space="0" w:color="auto"/>
              <w:bottom w:val="single" w:sz="4" w:space="0" w:color="auto"/>
              <w:right w:val="single" w:sz="4" w:space="0" w:color="auto"/>
            </w:tcBorders>
            <w:shd w:val="clear" w:color="000000" w:fill="C0C0C0"/>
            <w:vAlign w:val="center"/>
            <w:hideMark/>
          </w:tcPr>
          <w:p w:rsidR="00541BC5" w:rsidRDefault="00541BC5" w:rsidP="00541BC5">
            <w:pPr>
              <w:jc w:val="center"/>
              <w:rPr>
                <w:rFonts w:ascii="Times New Roman" w:hAnsi="Times New Roman"/>
              </w:rPr>
            </w:pPr>
            <w:r w:rsidRPr="00B13318">
              <w:rPr>
                <w:rFonts w:ascii="Times New Roman" w:hAnsi="Times New Roman"/>
              </w:rPr>
              <w:t>Autor</w:t>
            </w:r>
            <w:r>
              <w:rPr>
                <w:rFonts w:ascii="Times New Roman" w:hAnsi="Times New Roman"/>
              </w:rPr>
              <w:t>(</w:t>
            </w:r>
            <w:r w:rsidRPr="00B13318">
              <w:rPr>
                <w:rFonts w:ascii="Times New Roman" w:hAnsi="Times New Roman"/>
              </w:rPr>
              <w:t>es</w:t>
            </w:r>
            <w:r>
              <w:rPr>
                <w:rFonts w:ascii="Times New Roman" w:hAnsi="Times New Roman"/>
              </w:rPr>
              <w:t>) e instituição(</w:t>
            </w:r>
            <w:proofErr w:type="spellStart"/>
            <w:r>
              <w:rPr>
                <w:rFonts w:ascii="Times New Roman" w:hAnsi="Times New Roman"/>
              </w:rPr>
              <w:t>ões</w:t>
            </w:r>
            <w:proofErr w:type="spellEnd"/>
            <w:r>
              <w:rPr>
                <w:rFonts w:ascii="Times New Roman" w:hAnsi="Times New Roman"/>
              </w:rPr>
              <w:t>):</w:t>
            </w:r>
          </w:p>
          <w:p w:rsidR="00541BC5" w:rsidRPr="00CE098F" w:rsidRDefault="00541BC5" w:rsidP="00541BC5">
            <w:pPr>
              <w:jc w:val="center"/>
              <w:rPr>
                <w:rFonts w:ascii="Times New Roman" w:hAnsi="Times New Roman"/>
                <w:color w:val="000000"/>
                <w:lang w:eastAsia="es-CO"/>
              </w:rPr>
            </w:pPr>
            <w:proofErr w:type="spellStart"/>
            <w:r w:rsidRPr="00CE098F">
              <w:rPr>
                <w:rFonts w:ascii="Times New Roman" w:hAnsi="Times New Roman"/>
                <w:szCs w:val="21"/>
                <w:u w:val="single"/>
              </w:rPr>
              <w:t>Jaidete</w:t>
            </w:r>
            <w:proofErr w:type="spellEnd"/>
            <w:r w:rsidRPr="00CE098F">
              <w:rPr>
                <w:rFonts w:ascii="Times New Roman" w:hAnsi="Times New Roman"/>
                <w:szCs w:val="21"/>
                <w:u w:val="single"/>
              </w:rPr>
              <w:t xml:space="preserve"> de Oliveira Correia</w:t>
            </w:r>
            <w:r w:rsidRPr="00CE098F">
              <w:rPr>
                <w:rFonts w:ascii="Times New Roman" w:hAnsi="Times New Roman"/>
                <w:szCs w:val="21"/>
              </w:rPr>
              <w:t xml:space="preserve"> – Graduanda em Serviço Social pela UEPB. </w:t>
            </w:r>
            <w:proofErr w:type="spellStart"/>
            <w:r w:rsidRPr="00CE098F">
              <w:rPr>
                <w:rFonts w:ascii="Times New Roman" w:hAnsi="Times New Roman"/>
                <w:szCs w:val="21"/>
              </w:rPr>
              <w:t>Thaísa</w:t>
            </w:r>
            <w:proofErr w:type="spellEnd"/>
            <w:r w:rsidRPr="00CE098F">
              <w:rPr>
                <w:rFonts w:ascii="Times New Roman" w:hAnsi="Times New Roman"/>
                <w:szCs w:val="21"/>
              </w:rPr>
              <w:t xml:space="preserve"> Simplício Carneiro Matias – Doutoranda do Programa de Pós-Graduação em Serviço Social da UFRN e professora substituta do Departamento de Serviço Social da UEPB. Alessandra Ximenes da Silva – Professora do Departamento de Serviço Social e do Programa de Pós-Graduação em Serviço Social da UEPB. Coordenadora do Núcleo de Pesquisa em Política de Saúde e Serviço Social.</w:t>
            </w:r>
          </w:p>
        </w:tc>
      </w:tr>
      <w:tr w:rsidR="00541BC5" w:rsidRPr="00EB2D7E" w:rsidTr="00541BC5">
        <w:trPr>
          <w:trHeight w:val="300"/>
        </w:trPr>
        <w:tc>
          <w:tcPr>
            <w:tcW w:w="591" w:type="pct"/>
            <w:tcBorders>
              <w:top w:val="nil"/>
              <w:left w:val="single" w:sz="4" w:space="0" w:color="auto"/>
              <w:bottom w:val="single" w:sz="4" w:space="0" w:color="auto"/>
              <w:right w:val="single" w:sz="4" w:space="0" w:color="auto"/>
            </w:tcBorders>
            <w:shd w:val="clear" w:color="000000" w:fill="FFFFFF"/>
            <w:vAlign w:val="center"/>
            <w:hideMark/>
          </w:tcPr>
          <w:p w:rsidR="00541BC5" w:rsidRPr="00CE098F" w:rsidRDefault="00541BC5" w:rsidP="00541BC5">
            <w:pPr>
              <w:jc w:val="center"/>
              <w:rPr>
                <w:rFonts w:ascii="Times New Roman" w:hAnsi="Times New Roman"/>
                <w:b/>
                <w:color w:val="000000"/>
                <w:lang w:eastAsia="es-CO"/>
              </w:rPr>
            </w:pPr>
            <w:r w:rsidRPr="00CE098F">
              <w:rPr>
                <w:rFonts w:ascii="Times New Roman" w:hAnsi="Times New Roman"/>
                <w:b/>
                <w:color w:val="000000"/>
                <w:lang w:eastAsia="es-CO"/>
              </w:rPr>
              <w:t xml:space="preserve">Título </w:t>
            </w:r>
          </w:p>
        </w:tc>
        <w:tc>
          <w:tcPr>
            <w:tcW w:w="4409" w:type="pct"/>
            <w:gridSpan w:val="2"/>
            <w:tcBorders>
              <w:top w:val="single" w:sz="4" w:space="0" w:color="auto"/>
              <w:left w:val="nil"/>
              <w:bottom w:val="single" w:sz="4" w:space="0" w:color="auto"/>
              <w:right w:val="single" w:sz="4" w:space="0" w:color="auto"/>
            </w:tcBorders>
            <w:shd w:val="clear" w:color="000000" w:fill="FFFFFF"/>
            <w:vAlign w:val="center"/>
            <w:hideMark/>
          </w:tcPr>
          <w:p w:rsidR="00541BC5" w:rsidRDefault="00541BC5" w:rsidP="00541BC5">
            <w:pPr>
              <w:jc w:val="both"/>
              <w:rPr>
                <w:rFonts w:ascii="Times New Roman" w:hAnsi="Times New Roman"/>
              </w:rPr>
            </w:pPr>
          </w:p>
          <w:p w:rsidR="00541BC5" w:rsidRPr="00CE098F" w:rsidRDefault="00541BC5" w:rsidP="00541BC5">
            <w:pPr>
              <w:jc w:val="both"/>
              <w:rPr>
                <w:rFonts w:ascii="Times New Roman" w:hAnsi="Times New Roman"/>
              </w:rPr>
            </w:pPr>
            <w:r w:rsidRPr="00302598">
              <w:rPr>
                <w:rFonts w:ascii="Times New Roman" w:hAnsi="Times New Roman"/>
              </w:rPr>
              <w:t>CONSIDERAÇÕES SOBRE A CONTRARREFORMA DO ESTADO E O FUNDO PÚBLICO NA POLÍTICA DE SAÚDE DE CAMPINA GRANDE/PB</w:t>
            </w:r>
          </w:p>
        </w:tc>
      </w:tr>
      <w:tr w:rsidR="00541BC5" w:rsidRPr="00EB2D7E" w:rsidTr="00541BC5">
        <w:trPr>
          <w:trHeight w:val="300"/>
        </w:trPr>
        <w:tc>
          <w:tcPr>
            <w:tcW w:w="591" w:type="pct"/>
            <w:tcBorders>
              <w:top w:val="nil"/>
              <w:left w:val="single" w:sz="4" w:space="0" w:color="auto"/>
              <w:bottom w:val="single" w:sz="4" w:space="0" w:color="auto"/>
              <w:right w:val="single" w:sz="4" w:space="0" w:color="auto"/>
            </w:tcBorders>
            <w:shd w:val="clear" w:color="000000" w:fill="FFFFFF"/>
            <w:vAlign w:val="center"/>
            <w:hideMark/>
          </w:tcPr>
          <w:p w:rsidR="00541BC5" w:rsidRPr="00CE098F" w:rsidRDefault="00541BC5" w:rsidP="00541BC5">
            <w:pPr>
              <w:jc w:val="center"/>
              <w:rPr>
                <w:rFonts w:ascii="Times New Roman" w:hAnsi="Times New Roman"/>
                <w:b/>
                <w:color w:val="000000"/>
                <w:lang w:eastAsia="es-CO"/>
              </w:rPr>
            </w:pPr>
            <w:r w:rsidRPr="00CE098F">
              <w:rPr>
                <w:rFonts w:ascii="Times New Roman" w:hAnsi="Times New Roman"/>
                <w:b/>
                <w:color w:val="000000"/>
                <w:lang w:eastAsia="es-CO"/>
              </w:rPr>
              <w:t xml:space="preserve">Palavras-chave </w:t>
            </w:r>
          </w:p>
          <w:p w:rsidR="00541BC5" w:rsidRPr="00EB2D7E" w:rsidRDefault="00541BC5" w:rsidP="00541BC5">
            <w:pPr>
              <w:jc w:val="center"/>
              <w:rPr>
                <w:rFonts w:ascii="Times New Roman" w:hAnsi="Times New Roman"/>
                <w:color w:val="000000"/>
                <w:lang w:eastAsia="es-CO"/>
              </w:rPr>
            </w:pPr>
          </w:p>
        </w:tc>
        <w:tc>
          <w:tcPr>
            <w:tcW w:w="4409" w:type="pct"/>
            <w:gridSpan w:val="2"/>
            <w:tcBorders>
              <w:top w:val="single" w:sz="4" w:space="0" w:color="auto"/>
              <w:left w:val="nil"/>
              <w:bottom w:val="single" w:sz="4" w:space="0" w:color="auto"/>
              <w:right w:val="single" w:sz="4" w:space="0" w:color="auto"/>
            </w:tcBorders>
            <w:shd w:val="clear" w:color="000000" w:fill="FFFFFF"/>
            <w:vAlign w:val="center"/>
            <w:hideMark/>
          </w:tcPr>
          <w:p w:rsidR="00541BC5" w:rsidRPr="00EB2D7E" w:rsidRDefault="00541BC5" w:rsidP="00541BC5">
            <w:pPr>
              <w:rPr>
                <w:rFonts w:ascii="Times New Roman" w:hAnsi="Times New Roman"/>
                <w:b/>
                <w:color w:val="000000"/>
                <w:lang w:eastAsia="es-CO"/>
              </w:rPr>
            </w:pPr>
            <w:r w:rsidRPr="00EE2472">
              <w:rPr>
                <w:rFonts w:ascii="Times New Roman" w:hAnsi="Times New Roman"/>
              </w:rPr>
              <w:t>Fundo Público; Contrarreforma; Política de Saúde.</w:t>
            </w:r>
          </w:p>
        </w:tc>
      </w:tr>
      <w:tr w:rsidR="00541BC5" w:rsidRPr="00EB2D7E" w:rsidTr="00541BC5">
        <w:trPr>
          <w:trHeight w:val="300"/>
        </w:trPr>
        <w:tc>
          <w:tcPr>
            <w:tcW w:w="591" w:type="pct"/>
            <w:tcBorders>
              <w:top w:val="nil"/>
              <w:left w:val="single" w:sz="4" w:space="0" w:color="auto"/>
              <w:bottom w:val="single" w:sz="4" w:space="0" w:color="auto"/>
              <w:right w:val="single" w:sz="4" w:space="0" w:color="auto"/>
            </w:tcBorders>
            <w:shd w:val="clear" w:color="000000" w:fill="FFFFFF"/>
            <w:vAlign w:val="center"/>
            <w:hideMark/>
          </w:tcPr>
          <w:p w:rsidR="00541BC5" w:rsidRPr="00EB2D7E" w:rsidRDefault="00541BC5" w:rsidP="00541BC5">
            <w:pPr>
              <w:jc w:val="center"/>
              <w:rPr>
                <w:rFonts w:ascii="Times New Roman" w:hAnsi="Times New Roman"/>
                <w:color w:val="000000"/>
                <w:lang w:eastAsia="es-CO"/>
              </w:rPr>
            </w:pPr>
          </w:p>
          <w:p w:rsidR="00541BC5" w:rsidRPr="00EB2D7E" w:rsidRDefault="00541BC5" w:rsidP="00541BC5">
            <w:pPr>
              <w:jc w:val="center"/>
              <w:rPr>
                <w:rFonts w:ascii="Times New Roman" w:hAnsi="Times New Roman"/>
                <w:color w:val="000000"/>
                <w:lang w:eastAsia="es-CO"/>
              </w:rPr>
            </w:pPr>
          </w:p>
          <w:p w:rsidR="00541BC5" w:rsidRPr="00EB2D7E" w:rsidRDefault="00541BC5" w:rsidP="00541BC5">
            <w:pPr>
              <w:jc w:val="center"/>
              <w:rPr>
                <w:rFonts w:ascii="Times New Roman" w:hAnsi="Times New Roman"/>
                <w:color w:val="000000"/>
                <w:lang w:eastAsia="es-CO"/>
              </w:rPr>
            </w:pPr>
          </w:p>
          <w:p w:rsidR="00541BC5" w:rsidRPr="00EB2D7E" w:rsidRDefault="00541BC5" w:rsidP="00541BC5">
            <w:pPr>
              <w:jc w:val="center"/>
              <w:rPr>
                <w:rFonts w:ascii="Times New Roman" w:hAnsi="Times New Roman"/>
                <w:color w:val="000000"/>
                <w:lang w:eastAsia="es-CO"/>
              </w:rPr>
            </w:pPr>
          </w:p>
          <w:p w:rsidR="00541BC5" w:rsidRPr="00EB2D7E" w:rsidRDefault="00541BC5" w:rsidP="00541BC5">
            <w:pPr>
              <w:jc w:val="center"/>
              <w:rPr>
                <w:rFonts w:ascii="Times New Roman" w:hAnsi="Times New Roman"/>
                <w:color w:val="000000"/>
                <w:lang w:eastAsia="es-CO"/>
              </w:rPr>
            </w:pPr>
          </w:p>
          <w:p w:rsidR="00541BC5" w:rsidRPr="00EB2D7E" w:rsidRDefault="00541BC5" w:rsidP="00541BC5">
            <w:pPr>
              <w:jc w:val="center"/>
              <w:rPr>
                <w:rFonts w:ascii="Times New Roman" w:hAnsi="Times New Roman"/>
                <w:color w:val="000000"/>
                <w:lang w:eastAsia="es-CO"/>
              </w:rPr>
            </w:pPr>
          </w:p>
          <w:p w:rsidR="00541BC5" w:rsidRPr="00CE098F" w:rsidRDefault="00541BC5" w:rsidP="00541BC5">
            <w:pPr>
              <w:jc w:val="center"/>
              <w:rPr>
                <w:rFonts w:ascii="Times New Roman" w:hAnsi="Times New Roman"/>
                <w:b/>
                <w:color w:val="000000"/>
                <w:lang w:eastAsia="es-CO"/>
              </w:rPr>
            </w:pPr>
            <w:r w:rsidRPr="00CE098F">
              <w:rPr>
                <w:rFonts w:ascii="Times New Roman" w:hAnsi="Times New Roman"/>
                <w:b/>
                <w:color w:val="000000"/>
                <w:lang w:eastAsia="es-CO"/>
              </w:rPr>
              <w:t xml:space="preserve">Resumo </w:t>
            </w:r>
          </w:p>
          <w:p w:rsidR="00541BC5" w:rsidRPr="00EB2D7E" w:rsidRDefault="00541BC5" w:rsidP="00541BC5">
            <w:pPr>
              <w:jc w:val="center"/>
              <w:rPr>
                <w:rFonts w:ascii="Times New Roman" w:hAnsi="Times New Roman"/>
                <w:color w:val="000000"/>
                <w:lang w:eastAsia="es-CO"/>
              </w:rPr>
            </w:pPr>
          </w:p>
          <w:p w:rsidR="00541BC5" w:rsidRPr="00EB2D7E" w:rsidRDefault="00541BC5" w:rsidP="00541BC5">
            <w:pPr>
              <w:rPr>
                <w:rFonts w:ascii="Times New Roman" w:hAnsi="Times New Roman"/>
                <w:color w:val="000000"/>
                <w:lang w:eastAsia="es-CO"/>
              </w:rPr>
            </w:pPr>
          </w:p>
          <w:p w:rsidR="00541BC5" w:rsidRPr="00EB2D7E" w:rsidRDefault="00541BC5" w:rsidP="00541BC5">
            <w:pPr>
              <w:jc w:val="center"/>
              <w:rPr>
                <w:rFonts w:ascii="Times New Roman" w:hAnsi="Times New Roman"/>
                <w:color w:val="000000"/>
                <w:lang w:eastAsia="es-CO"/>
              </w:rPr>
            </w:pPr>
          </w:p>
          <w:p w:rsidR="00541BC5" w:rsidRPr="00EB2D7E" w:rsidRDefault="00541BC5" w:rsidP="00541BC5">
            <w:pPr>
              <w:jc w:val="center"/>
              <w:rPr>
                <w:rFonts w:ascii="Times New Roman" w:hAnsi="Times New Roman"/>
                <w:color w:val="000000"/>
                <w:lang w:eastAsia="es-CO"/>
              </w:rPr>
            </w:pPr>
          </w:p>
          <w:p w:rsidR="00541BC5" w:rsidRPr="00EB2D7E" w:rsidRDefault="00541BC5" w:rsidP="00541BC5">
            <w:pPr>
              <w:jc w:val="center"/>
              <w:rPr>
                <w:rFonts w:ascii="Times New Roman" w:hAnsi="Times New Roman"/>
                <w:color w:val="000000"/>
                <w:lang w:eastAsia="es-CO"/>
              </w:rPr>
            </w:pPr>
          </w:p>
        </w:tc>
        <w:tc>
          <w:tcPr>
            <w:tcW w:w="4409" w:type="pct"/>
            <w:gridSpan w:val="2"/>
            <w:tcBorders>
              <w:top w:val="single" w:sz="4" w:space="0" w:color="auto"/>
              <w:left w:val="nil"/>
              <w:bottom w:val="single" w:sz="4" w:space="0" w:color="auto"/>
              <w:right w:val="single" w:sz="4" w:space="0" w:color="auto"/>
            </w:tcBorders>
            <w:shd w:val="clear" w:color="000000" w:fill="FFFFFF"/>
            <w:vAlign w:val="center"/>
            <w:hideMark/>
          </w:tcPr>
          <w:p w:rsidR="00541BC5" w:rsidRPr="00BE0F4D" w:rsidRDefault="00541BC5" w:rsidP="00541BC5">
            <w:pPr>
              <w:jc w:val="both"/>
              <w:rPr>
                <w:rFonts w:ascii="Times New Roman" w:hAnsi="Times New Roman"/>
                <w:color w:val="FF0000"/>
                <w:u w:val="single"/>
              </w:rPr>
            </w:pPr>
            <w:r w:rsidRPr="00EE2472">
              <w:rPr>
                <w:rFonts w:ascii="Times New Roman" w:hAnsi="Times New Roman"/>
                <w:color w:val="000000"/>
                <w:lang w:eastAsia="es-CO"/>
              </w:rPr>
              <w:t xml:space="preserve"> </w:t>
            </w:r>
            <w:r w:rsidRPr="00EE2472">
              <w:rPr>
                <w:rFonts w:ascii="Times New Roman" w:hAnsi="Times New Roman"/>
              </w:rPr>
              <w:t>A disputa pelo fundo público assume um papel cada vez mais relevante, sendo essencial tanto na esfera da acumulação produtiva quanto na reprodução, através das políticas sociais, particularmente na Seguridade Social. Ao aprofundarmos a discussão sobre o desmonte da política de saúde, na contemporaneidade, sabemos que embora se tenha conseguido regulamentar um esquema de financiamento para o SUS, a contrarreforma do Estado impõe frente aos direitos conquistados pelos trabalhadores a implementação de políticas focais, esvaziando o caráter público, universal e estatal dos serviços, e destina à esfera privada a gestão destes, mercantilizando-os. Ocorre crescente tendência da apropriação do fundo público ao financiamento da acumulação do capital em detrimento do financiamento dos interesses da reprodução do trabalho, no sentido de desmontar as conquistas e direitos sociais. Este trabalho objetiva analisar a relação entre o fundo público e a contrarreforma da política de saúde no município de Campina Grande/PB. Para tanto, busca-se i</w:t>
            </w:r>
            <w:r w:rsidRPr="00EE2472">
              <w:rPr>
                <w:rFonts w:ascii="Times New Roman" w:hAnsi="Times New Roman"/>
                <w:bCs/>
              </w:rPr>
              <w:t>dentificar no orçamento da política de saúde municipal as prioridades entre os serviços públicos estatais e os serviços complementares;</w:t>
            </w:r>
            <w:r w:rsidRPr="00EE2472">
              <w:rPr>
                <w:rFonts w:ascii="Times New Roman" w:hAnsi="Times New Roman"/>
              </w:rPr>
              <w:t xml:space="preserve"> d</w:t>
            </w:r>
            <w:r w:rsidRPr="00EE2472">
              <w:rPr>
                <w:rFonts w:ascii="Times New Roman" w:hAnsi="Times New Roman"/>
                <w:bCs/>
              </w:rPr>
              <w:t>esvelar como os interesses privados vêm se ampliando por dentro do SUS no município; e analisar o repasse de recursos da política de saúde municipal aos serviços públicos estatais e aos serviços complementares.</w:t>
            </w:r>
            <w:r w:rsidRPr="00EE2472">
              <w:rPr>
                <w:rFonts w:ascii="Times New Roman" w:hAnsi="Times New Roman"/>
              </w:rPr>
              <w:t xml:space="preserve"> Fundamentada na Teoria Social Crítica, houve revisão de literatura sobre a contrarreforma na política de saúde; pesquisa documental no Plano Plurianual, Plano de Saúde, Lei Orçamentária, execução orçamentária e prestação de contas ao Conselho Municipal de Saúde de Campina Grande referente ao período de 2017-2018; bem como observação nas reuniões do Conselho Municipal de Saúde. Desse modo, na realidade de Campina Grande, </w:t>
            </w:r>
            <w:r w:rsidRPr="00EE2472">
              <w:rPr>
                <w:rFonts w:ascii="Times New Roman" w:hAnsi="Times New Roman"/>
                <w:shd w:val="clear" w:color="auto" w:fill="FFFFFF"/>
              </w:rPr>
              <w:t>com o crescimento do mercado de serviços privados, o SUS é precarizado, distanciando-se do SUS legalmente instituído, e desta forma, flexibiliza os princípios político-emancipatórios que orientam sua racionalidade, em nome da modernização e aperfeiçoamento do SUS.</w:t>
            </w:r>
          </w:p>
        </w:tc>
      </w:tr>
      <w:tr w:rsidR="00541BC5" w:rsidRPr="00EB2D7E" w:rsidTr="00541BC5">
        <w:trPr>
          <w:trHeight w:val="300"/>
        </w:trPr>
        <w:tc>
          <w:tcPr>
            <w:tcW w:w="4140" w:type="pct"/>
            <w:gridSpan w:val="2"/>
            <w:tcBorders>
              <w:top w:val="nil"/>
              <w:left w:val="single" w:sz="4" w:space="0" w:color="auto"/>
              <w:bottom w:val="single" w:sz="4" w:space="0" w:color="auto"/>
              <w:right w:val="single" w:sz="4" w:space="0" w:color="auto"/>
            </w:tcBorders>
            <w:shd w:val="clear" w:color="000000" w:fill="FFFFFF"/>
            <w:vAlign w:val="center"/>
            <w:hideMark/>
          </w:tcPr>
          <w:p w:rsidR="00541BC5" w:rsidRPr="00CE098F" w:rsidRDefault="00541BC5" w:rsidP="00541BC5">
            <w:pPr>
              <w:jc w:val="center"/>
              <w:rPr>
                <w:rFonts w:ascii="Times New Roman" w:hAnsi="Times New Roman"/>
                <w:b/>
                <w:color w:val="000000"/>
                <w:lang w:eastAsia="es-CO"/>
              </w:rPr>
            </w:pPr>
            <w:r w:rsidRPr="00CE098F">
              <w:rPr>
                <w:rFonts w:ascii="Times New Roman" w:hAnsi="Times New Roman"/>
                <w:b/>
                <w:color w:val="000000"/>
                <w:lang w:eastAsia="es-CO"/>
              </w:rPr>
              <w:t>Instituição financiadora da pesquisa e declaração de conflito de interesse</w:t>
            </w:r>
          </w:p>
        </w:tc>
        <w:tc>
          <w:tcPr>
            <w:tcW w:w="860" w:type="pct"/>
            <w:tcBorders>
              <w:top w:val="single" w:sz="4" w:space="0" w:color="auto"/>
              <w:left w:val="nil"/>
              <w:bottom w:val="single" w:sz="4" w:space="0" w:color="auto"/>
              <w:right w:val="single" w:sz="4" w:space="0" w:color="auto"/>
            </w:tcBorders>
            <w:shd w:val="clear" w:color="000000" w:fill="FFFFFF"/>
            <w:vAlign w:val="center"/>
            <w:hideMark/>
          </w:tcPr>
          <w:p w:rsidR="00541BC5" w:rsidRPr="00EE2472" w:rsidRDefault="00541BC5" w:rsidP="00541BC5">
            <w:pPr>
              <w:rPr>
                <w:rFonts w:ascii="Times New Roman" w:hAnsi="Times New Roman"/>
                <w:color w:val="000000"/>
                <w:lang w:eastAsia="es-CO"/>
              </w:rPr>
            </w:pPr>
            <w:r w:rsidRPr="00EE2472">
              <w:rPr>
                <w:rFonts w:ascii="Times New Roman" w:hAnsi="Times New Roman"/>
                <w:color w:val="000000"/>
                <w:lang w:eastAsia="es-CO"/>
              </w:rPr>
              <w:t> UEPB</w:t>
            </w:r>
          </w:p>
        </w:tc>
      </w:tr>
    </w:tbl>
    <w:p w:rsidR="0061268B" w:rsidRDefault="0061268B"/>
    <w:p w:rsidR="0061268B" w:rsidRDefault="0061268B"/>
    <w:p w:rsidR="0061268B" w:rsidRDefault="0061268B"/>
    <w:p w:rsidR="0061268B" w:rsidRDefault="0061268B"/>
    <w:p w:rsidR="0061268B" w:rsidRDefault="0061268B"/>
    <w:p w:rsidR="0061268B" w:rsidRDefault="0061268B"/>
    <w:p w:rsidR="0061268B" w:rsidRDefault="0061268B"/>
    <w:tbl>
      <w:tblPr>
        <w:tblpPr w:leftFromText="141" w:rightFromText="141" w:vertAnchor="text" w:horzAnchor="margin" w:tblpY="55"/>
        <w:tblW w:w="5040" w:type="pct"/>
        <w:tblLayout w:type="fixed"/>
        <w:tblCellMar>
          <w:left w:w="70" w:type="dxa"/>
          <w:right w:w="70" w:type="dxa"/>
        </w:tblCellMar>
        <w:tblLook w:val="04A0" w:firstRow="1" w:lastRow="0" w:firstColumn="1" w:lastColumn="0" w:noHBand="0" w:noVBand="1"/>
      </w:tblPr>
      <w:tblGrid>
        <w:gridCol w:w="1084"/>
        <w:gridCol w:w="3950"/>
        <w:gridCol w:w="4251"/>
      </w:tblGrid>
      <w:tr w:rsidR="00541BC5" w:rsidRPr="00EB2D7E" w:rsidTr="0061268B">
        <w:trPr>
          <w:trHeight w:val="263"/>
        </w:trPr>
        <w:tc>
          <w:tcPr>
            <w:tcW w:w="5000" w:type="pct"/>
            <w:gridSpan w:val="3"/>
            <w:tcBorders>
              <w:top w:val="single" w:sz="4" w:space="0" w:color="auto"/>
              <w:left w:val="single" w:sz="4" w:space="0" w:color="auto"/>
              <w:bottom w:val="single" w:sz="4" w:space="0" w:color="auto"/>
              <w:right w:val="single" w:sz="4" w:space="0" w:color="auto"/>
            </w:tcBorders>
            <w:shd w:val="clear" w:color="000000" w:fill="C0C0C0"/>
            <w:vAlign w:val="center"/>
          </w:tcPr>
          <w:p w:rsidR="00541BC5" w:rsidRPr="00EB2D7E" w:rsidRDefault="00541BC5" w:rsidP="00A53779">
            <w:pPr>
              <w:jc w:val="center"/>
              <w:rPr>
                <w:rFonts w:ascii="Times New Roman" w:hAnsi="Times New Roman"/>
                <w:color w:val="000000"/>
                <w:lang w:eastAsia="es-CO"/>
              </w:rPr>
            </w:pPr>
            <w:r w:rsidRPr="004003A1">
              <w:rPr>
                <w:rFonts w:cstheme="minorHAnsi"/>
                <w:b/>
                <w:sz w:val="21"/>
                <w:szCs w:val="21"/>
              </w:rPr>
              <w:t xml:space="preserve">Pôsteres - Sessão </w:t>
            </w:r>
            <w:proofErr w:type="gramStart"/>
            <w:r w:rsidRPr="004003A1">
              <w:rPr>
                <w:rFonts w:cstheme="minorHAnsi"/>
                <w:b/>
                <w:sz w:val="21"/>
                <w:szCs w:val="21"/>
              </w:rPr>
              <w:t>1</w:t>
            </w:r>
            <w:proofErr w:type="gramEnd"/>
            <w:r w:rsidRPr="004003A1">
              <w:rPr>
                <w:rFonts w:cstheme="minorHAnsi"/>
                <w:b/>
                <w:sz w:val="21"/>
                <w:szCs w:val="21"/>
              </w:rPr>
              <w:t>: Financiamento e Gestão Financeira do SUS</w:t>
            </w:r>
          </w:p>
        </w:tc>
      </w:tr>
      <w:tr w:rsidR="00541BC5" w:rsidRPr="00EB2D7E" w:rsidTr="0061268B">
        <w:trPr>
          <w:trHeight w:val="263"/>
        </w:trPr>
        <w:tc>
          <w:tcPr>
            <w:tcW w:w="5000" w:type="pct"/>
            <w:gridSpan w:val="3"/>
            <w:tcBorders>
              <w:top w:val="nil"/>
              <w:left w:val="single" w:sz="4" w:space="0" w:color="auto"/>
              <w:bottom w:val="single" w:sz="4" w:space="0" w:color="auto"/>
              <w:right w:val="single" w:sz="4" w:space="0" w:color="auto"/>
            </w:tcBorders>
            <w:shd w:val="clear" w:color="000000" w:fill="C0C0C0"/>
            <w:vAlign w:val="center"/>
            <w:hideMark/>
          </w:tcPr>
          <w:p w:rsidR="00541BC5" w:rsidRDefault="00541BC5" w:rsidP="00A53779">
            <w:pPr>
              <w:jc w:val="center"/>
              <w:rPr>
                <w:rFonts w:ascii="Times New Roman" w:hAnsi="Times New Roman"/>
              </w:rPr>
            </w:pPr>
            <w:r w:rsidRPr="00B13318">
              <w:rPr>
                <w:rFonts w:ascii="Times New Roman" w:hAnsi="Times New Roman"/>
              </w:rPr>
              <w:t>Autor</w:t>
            </w:r>
            <w:r>
              <w:rPr>
                <w:rFonts w:ascii="Times New Roman" w:hAnsi="Times New Roman"/>
              </w:rPr>
              <w:t>(</w:t>
            </w:r>
            <w:r w:rsidRPr="00B13318">
              <w:rPr>
                <w:rFonts w:ascii="Times New Roman" w:hAnsi="Times New Roman"/>
              </w:rPr>
              <w:t>es</w:t>
            </w:r>
            <w:r>
              <w:rPr>
                <w:rFonts w:ascii="Times New Roman" w:hAnsi="Times New Roman"/>
              </w:rPr>
              <w:t>) e instituição(</w:t>
            </w:r>
            <w:proofErr w:type="spellStart"/>
            <w:r>
              <w:rPr>
                <w:rFonts w:ascii="Times New Roman" w:hAnsi="Times New Roman"/>
              </w:rPr>
              <w:t>ões</w:t>
            </w:r>
            <w:proofErr w:type="spellEnd"/>
            <w:r>
              <w:rPr>
                <w:rFonts w:ascii="Times New Roman" w:hAnsi="Times New Roman"/>
              </w:rPr>
              <w:t>):</w:t>
            </w:r>
          </w:p>
          <w:p w:rsidR="00541BC5" w:rsidRPr="00A53779" w:rsidRDefault="00541BC5" w:rsidP="00A53779">
            <w:pPr>
              <w:jc w:val="center"/>
              <w:rPr>
                <w:rFonts w:ascii="Times New Roman" w:hAnsi="Times New Roman"/>
                <w:color w:val="000000"/>
                <w:lang w:eastAsia="es-CO"/>
              </w:rPr>
            </w:pPr>
            <w:r w:rsidRPr="00A53779">
              <w:rPr>
                <w:rFonts w:ascii="Times New Roman" w:hAnsi="Times New Roman"/>
                <w:szCs w:val="21"/>
                <w:u w:val="single"/>
              </w:rPr>
              <w:t>Fabiana Turino</w:t>
            </w:r>
            <w:r w:rsidRPr="00A53779">
              <w:rPr>
                <w:rFonts w:ascii="Times New Roman" w:hAnsi="Times New Roman"/>
                <w:szCs w:val="21"/>
              </w:rPr>
              <w:t xml:space="preserve"> - UFES; Carolina Soares Rocha - UFES; Francis Sodré – UFES.</w:t>
            </w:r>
          </w:p>
        </w:tc>
      </w:tr>
      <w:tr w:rsidR="00541BC5" w:rsidRPr="00EB2D7E" w:rsidTr="0061268B">
        <w:trPr>
          <w:trHeight w:val="300"/>
        </w:trPr>
        <w:tc>
          <w:tcPr>
            <w:tcW w:w="584" w:type="pct"/>
            <w:tcBorders>
              <w:top w:val="nil"/>
              <w:left w:val="single" w:sz="4" w:space="0" w:color="auto"/>
              <w:bottom w:val="single" w:sz="4" w:space="0" w:color="auto"/>
              <w:right w:val="single" w:sz="4" w:space="0" w:color="auto"/>
            </w:tcBorders>
            <w:shd w:val="clear" w:color="000000" w:fill="FFFFFF"/>
            <w:vAlign w:val="center"/>
            <w:hideMark/>
          </w:tcPr>
          <w:p w:rsidR="00541BC5" w:rsidRPr="00A53779" w:rsidRDefault="00541BC5" w:rsidP="00A53779">
            <w:pPr>
              <w:jc w:val="center"/>
              <w:rPr>
                <w:rFonts w:ascii="Times New Roman" w:hAnsi="Times New Roman"/>
                <w:b/>
                <w:color w:val="000000"/>
                <w:lang w:eastAsia="es-CO"/>
              </w:rPr>
            </w:pPr>
            <w:r w:rsidRPr="00A53779">
              <w:rPr>
                <w:rFonts w:ascii="Times New Roman" w:hAnsi="Times New Roman"/>
                <w:b/>
                <w:color w:val="000000"/>
                <w:lang w:eastAsia="es-CO"/>
              </w:rPr>
              <w:t xml:space="preserve">Título </w:t>
            </w:r>
          </w:p>
        </w:tc>
        <w:tc>
          <w:tcPr>
            <w:tcW w:w="4416" w:type="pct"/>
            <w:gridSpan w:val="2"/>
            <w:tcBorders>
              <w:top w:val="single" w:sz="4" w:space="0" w:color="auto"/>
              <w:left w:val="nil"/>
              <w:bottom w:val="single" w:sz="4" w:space="0" w:color="auto"/>
              <w:right w:val="single" w:sz="4" w:space="0" w:color="auto"/>
            </w:tcBorders>
            <w:shd w:val="clear" w:color="000000" w:fill="FFFFFF"/>
            <w:vAlign w:val="center"/>
            <w:hideMark/>
          </w:tcPr>
          <w:p w:rsidR="00541BC5" w:rsidRPr="00EB2D7E" w:rsidRDefault="00541BC5" w:rsidP="00A53779">
            <w:pPr>
              <w:rPr>
                <w:rFonts w:ascii="Times New Roman" w:hAnsi="Times New Roman"/>
                <w:color w:val="000000"/>
                <w:lang w:eastAsia="es-CO"/>
              </w:rPr>
            </w:pPr>
            <w:r w:rsidRPr="00EB2D7E">
              <w:rPr>
                <w:rFonts w:ascii="Times New Roman" w:hAnsi="Times New Roman"/>
                <w:color w:val="000000"/>
                <w:lang w:eastAsia="es-CO"/>
              </w:rPr>
              <w:t> </w:t>
            </w:r>
          </w:p>
          <w:p w:rsidR="00541BC5" w:rsidRPr="00EB2D7E" w:rsidRDefault="00541BC5" w:rsidP="00A53779">
            <w:pPr>
              <w:rPr>
                <w:rFonts w:ascii="Times New Roman" w:hAnsi="Times New Roman"/>
                <w:color w:val="000000"/>
                <w:lang w:eastAsia="es-CO"/>
              </w:rPr>
            </w:pPr>
            <w:r>
              <w:rPr>
                <w:rFonts w:ascii="Times New Roman" w:hAnsi="Times New Roman"/>
              </w:rPr>
              <w:t>R</w:t>
            </w:r>
            <w:r w:rsidRPr="009B11BC">
              <w:rPr>
                <w:rFonts w:ascii="Times New Roman" w:hAnsi="Times New Roman"/>
              </w:rPr>
              <w:t>elações comerciais entre as Organizações Sociais de Saúde no Brasil</w:t>
            </w:r>
          </w:p>
          <w:p w:rsidR="00541BC5" w:rsidRPr="00EB2D7E" w:rsidRDefault="00541BC5" w:rsidP="00A53779">
            <w:pPr>
              <w:rPr>
                <w:rFonts w:ascii="Times New Roman" w:hAnsi="Times New Roman"/>
                <w:b/>
                <w:color w:val="000000"/>
                <w:lang w:eastAsia="es-CO"/>
              </w:rPr>
            </w:pPr>
          </w:p>
        </w:tc>
      </w:tr>
      <w:tr w:rsidR="00541BC5" w:rsidRPr="00EB2D7E" w:rsidTr="0061268B">
        <w:trPr>
          <w:trHeight w:val="300"/>
        </w:trPr>
        <w:tc>
          <w:tcPr>
            <w:tcW w:w="584" w:type="pct"/>
            <w:tcBorders>
              <w:top w:val="nil"/>
              <w:left w:val="single" w:sz="4" w:space="0" w:color="auto"/>
              <w:bottom w:val="single" w:sz="4" w:space="0" w:color="auto"/>
              <w:right w:val="single" w:sz="4" w:space="0" w:color="auto"/>
            </w:tcBorders>
            <w:shd w:val="clear" w:color="000000" w:fill="FFFFFF"/>
            <w:vAlign w:val="center"/>
            <w:hideMark/>
          </w:tcPr>
          <w:p w:rsidR="00541BC5" w:rsidRPr="00A53779" w:rsidRDefault="00541BC5" w:rsidP="00A53779">
            <w:pPr>
              <w:jc w:val="center"/>
              <w:rPr>
                <w:rFonts w:ascii="Times New Roman" w:hAnsi="Times New Roman"/>
                <w:b/>
                <w:color w:val="000000"/>
                <w:lang w:eastAsia="es-CO"/>
              </w:rPr>
            </w:pPr>
            <w:r w:rsidRPr="00A53779">
              <w:rPr>
                <w:rFonts w:ascii="Times New Roman" w:hAnsi="Times New Roman"/>
                <w:b/>
                <w:color w:val="000000"/>
                <w:lang w:eastAsia="es-CO"/>
              </w:rPr>
              <w:t xml:space="preserve">Palavras-chave </w:t>
            </w:r>
          </w:p>
        </w:tc>
        <w:tc>
          <w:tcPr>
            <w:tcW w:w="4416" w:type="pct"/>
            <w:gridSpan w:val="2"/>
            <w:tcBorders>
              <w:top w:val="single" w:sz="4" w:space="0" w:color="auto"/>
              <w:left w:val="nil"/>
              <w:bottom w:val="single" w:sz="4" w:space="0" w:color="auto"/>
              <w:right w:val="single" w:sz="4" w:space="0" w:color="auto"/>
            </w:tcBorders>
            <w:shd w:val="clear" w:color="000000" w:fill="FFFFFF"/>
            <w:vAlign w:val="center"/>
            <w:hideMark/>
          </w:tcPr>
          <w:p w:rsidR="00541BC5" w:rsidRPr="00EB2D7E" w:rsidRDefault="00541BC5" w:rsidP="00A53779">
            <w:pPr>
              <w:rPr>
                <w:rFonts w:ascii="Times New Roman" w:hAnsi="Times New Roman"/>
                <w:color w:val="000000"/>
                <w:lang w:eastAsia="es-CO"/>
              </w:rPr>
            </w:pPr>
            <w:r w:rsidRPr="00EB2D7E">
              <w:rPr>
                <w:rFonts w:ascii="Times New Roman" w:hAnsi="Times New Roman"/>
                <w:color w:val="000000"/>
                <w:lang w:eastAsia="es-CO"/>
              </w:rPr>
              <w:t> </w:t>
            </w:r>
          </w:p>
          <w:p w:rsidR="00541BC5" w:rsidRPr="00EB2D7E" w:rsidRDefault="00541BC5" w:rsidP="00A53779">
            <w:pPr>
              <w:rPr>
                <w:rFonts w:ascii="Times New Roman" w:hAnsi="Times New Roman"/>
                <w:color w:val="000000"/>
                <w:lang w:eastAsia="es-CO"/>
              </w:rPr>
            </w:pPr>
            <w:r w:rsidRPr="007B11DC">
              <w:rPr>
                <w:rFonts w:ascii="Times New Roman" w:hAnsi="Times New Roman"/>
                <w:color w:val="000000"/>
                <w:lang w:eastAsia="es-CO"/>
              </w:rPr>
              <w:t>Política de Saúde, Gestão em Saúde, Organizações Sociais de Saúde</w:t>
            </w:r>
          </w:p>
          <w:p w:rsidR="00541BC5" w:rsidRPr="00EB2D7E" w:rsidRDefault="00541BC5" w:rsidP="00A53779">
            <w:pPr>
              <w:rPr>
                <w:rFonts w:ascii="Times New Roman" w:hAnsi="Times New Roman"/>
                <w:b/>
                <w:color w:val="000000"/>
                <w:lang w:eastAsia="es-CO"/>
              </w:rPr>
            </w:pPr>
          </w:p>
        </w:tc>
      </w:tr>
      <w:tr w:rsidR="00541BC5" w:rsidRPr="00EB2D7E" w:rsidTr="0061268B">
        <w:trPr>
          <w:trHeight w:val="300"/>
        </w:trPr>
        <w:tc>
          <w:tcPr>
            <w:tcW w:w="584" w:type="pct"/>
            <w:tcBorders>
              <w:top w:val="nil"/>
              <w:left w:val="single" w:sz="4" w:space="0" w:color="auto"/>
              <w:bottom w:val="single" w:sz="4" w:space="0" w:color="auto"/>
              <w:right w:val="single" w:sz="4" w:space="0" w:color="auto"/>
            </w:tcBorders>
            <w:shd w:val="clear" w:color="000000" w:fill="FFFFFF"/>
            <w:vAlign w:val="center"/>
            <w:hideMark/>
          </w:tcPr>
          <w:p w:rsidR="00541BC5" w:rsidRPr="00EB2D7E" w:rsidRDefault="00541BC5" w:rsidP="00A53779">
            <w:pPr>
              <w:jc w:val="center"/>
              <w:rPr>
                <w:rFonts w:ascii="Times New Roman" w:hAnsi="Times New Roman"/>
                <w:color w:val="000000"/>
                <w:lang w:eastAsia="es-CO"/>
              </w:rPr>
            </w:pPr>
          </w:p>
          <w:p w:rsidR="00541BC5" w:rsidRPr="00EB2D7E" w:rsidRDefault="00541BC5" w:rsidP="00A53779">
            <w:pPr>
              <w:jc w:val="center"/>
              <w:rPr>
                <w:rFonts w:ascii="Times New Roman" w:hAnsi="Times New Roman"/>
                <w:color w:val="000000"/>
                <w:lang w:eastAsia="es-CO"/>
              </w:rPr>
            </w:pPr>
          </w:p>
          <w:p w:rsidR="00541BC5" w:rsidRPr="00EB2D7E" w:rsidRDefault="00541BC5" w:rsidP="00A53779">
            <w:pPr>
              <w:jc w:val="center"/>
              <w:rPr>
                <w:rFonts w:ascii="Times New Roman" w:hAnsi="Times New Roman"/>
                <w:color w:val="000000"/>
                <w:lang w:eastAsia="es-CO"/>
              </w:rPr>
            </w:pPr>
          </w:p>
          <w:p w:rsidR="00541BC5" w:rsidRPr="00EB2D7E" w:rsidRDefault="00541BC5" w:rsidP="00A53779">
            <w:pPr>
              <w:jc w:val="center"/>
              <w:rPr>
                <w:rFonts w:ascii="Times New Roman" w:hAnsi="Times New Roman"/>
                <w:color w:val="000000"/>
                <w:lang w:eastAsia="es-CO"/>
              </w:rPr>
            </w:pPr>
          </w:p>
          <w:p w:rsidR="00541BC5" w:rsidRPr="00EB2D7E" w:rsidRDefault="00541BC5" w:rsidP="00A53779">
            <w:pPr>
              <w:jc w:val="center"/>
              <w:rPr>
                <w:rFonts w:ascii="Times New Roman" w:hAnsi="Times New Roman"/>
                <w:color w:val="000000"/>
                <w:lang w:eastAsia="es-CO"/>
              </w:rPr>
            </w:pPr>
          </w:p>
          <w:p w:rsidR="00541BC5" w:rsidRPr="00EB2D7E" w:rsidRDefault="00541BC5" w:rsidP="00A53779">
            <w:pPr>
              <w:jc w:val="center"/>
              <w:rPr>
                <w:rFonts w:ascii="Times New Roman" w:hAnsi="Times New Roman"/>
                <w:color w:val="000000"/>
                <w:lang w:eastAsia="es-CO"/>
              </w:rPr>
            </w:pPr>
          </w:p>
          <w:p w:rsidR="00541BC5" w:rsidRPr="00EB2D7E" w:rsidRDefault="00541BC5" w:rsidP="00A53779">
            <w:pPr>
              <w:jc w:val="center"/>
              <w:rPr>
                <w:rFonts w:ascii="Times New Roman" w:hAnsi="Times New Roman"/>
                <w:color w:val="000000"/>
                <w:lang w:eastAsia="es-CO"/>
              </w:rPr>
            </w:pPr>
            <w:r w:rsidRPr="00EB2D7E">
              <w:rPr>
                <w:rFonts w:ascii="Times New Roman" w:hAnsi="Times New Roman"/>
                <w:color w:val="000000"/>
                <w:lang w:eastAsia="es-CO"/>
              </w:rPr>
              <w:t>Resumo (até 300 palavras):</w:t>
            </w:r>
          </w:p>
          <w:p w:rsidR="00541BC5" w:rsidRPr="00EB2D7E" w:rsidRDefault="00541BC5" w:rsidP="00A53779">
            <w:pPr>
              <w:jc w:val="center"/>
              <w:rPr>
                <w:rFonts w:ascii="Times New Roman" w:hAnsi="Times New Roman"/>
                <w:color w:val="000000"/>
                <w:lang w:eastAsia="es-CO"/>
              </w:rPr>
            </w:pPr>
          </w:p>
          <w:p w:rsidR="00541BC5" w:rsidRPr="00EB2D7E" w:rsidRDefault="00541BC5" w:rsidP="00A53779">
            <w:pPr>
              <w:rPr>
                <w:rFonts w:ascii="Times New Roman" w:hAnsi="Times New Roman"/>
                <w:color w:val="000000"/>
                <w:lang w:eastAsia="es-CO"/>
              </w:rPr>
            </w:pPr>
          </w:p>
          <w:p w:rsidR="00541BC5" w:rsidRPr="00EB2D7E" w:rsidRDefault="00541BC5" w:rsidP="00A53779">
            <w:pPr>
              <w:jc w:val="center"/>
              <w:rPr>
                <w:rFonts w:ascii="Times New Roman" w:hAnsi="Times New Roman"/>
                <w:color w:val="000000"/>
                <w:lang w:eastAsia="es-CO"/>
              </w:rPr>
            </w:pPr>
          </w:p>
          <w:p w:rsidR="00541BC5" w:rsidRPr="00EB2D7E" w:rsidRDefault="00541BC5" w:rsidP="00A53779">
            <w:pPr>
              <w:jc w:val="center"/>
              <w:rPr>
                <w:rFonts w:ascii="Times New Roman" w:hAnsi="Times New Roman"/>
                <w:color w:val="000000"/>
                <w:lang w:eastAsia="es-CO"/>
              </w:rPr>
            </w:pPr>
          </w:p>
          <w:p w:rsidR="00541BC5" w:rsidRPr="00EB2D7E" w:rsidRDefault="00541BC5" w:rsidP="00A53779">
            <w:pPr>
              <w:jc w:val="center"/>
              <w:rPr>
                <w:rFonts w:ascii="Times New Roman" w:hAnsi="Times New Roman"/>
                <w:color w:val="000000"/>
                <w:lang w:eastAsia="es-CO"/>
              </w:rPr>
            </w:pPr>
          </w:p>
        </w:tc>
        <w:tc>
          <w:tcPr>
            <w:tcW w:w="4416" w:type="pct"/>
            <w:gridSpan w:val="2"/>
            <w:tcBorders>
              <w:top w:val="single" w:sz="4" w:space="0" w:color="auto"/>
              <w:left w:val="nil"/>
              <w:bottom w:val="single" w:sz="4" w:space="0" w:color="auto"/>
              <w:right w:val="single" w:sz="4" w:space="0" w:color="auto"/>
            </w:tcBorders>
            <w:shd w:val="clear" w:color="000000" w:fill="FFFFFF"/>
            <w:vAlign w:val="center"/>
            <w:hideMark/>
          </w:tcPr>
          <w:p w:rsidR="00541BC5" w:rsidRPr="00880477" w:rsidRDefault="00541BC5" w:rsidP="00A53779">
            <w:pPr>
              <w:jc w:val="both"/>
              <w:rPr>
                <w:rFonts w:ascii="Times New Roman" w:hAnsi="Times New Roman"/>
              </w:rPr>
            </w:pPr>
            <w:r w:rsidRPr="00EB2D7E">
              <w:rPr>
                <w:rFonts w:ascii="Times New Roman" w:hAnsi="Times New Roman"/>
                <w:color w:val="000000"/>
                <w:lang w:eastAsia="es-CO"/>
              </w:rPr>
              <w:t xml:space="preserve"> </w:t>
            </w:r>
            <w:r w:rsidRPr="00F2781F">
              <w:rPr>
                <w:rFonts w:ascii="Times New Roman" w:hAnsi="Times New Roman"/>
                <w:b/>
              </w:rPr>
              <w:t>Justificativa</w:t>
            </w:r>
            <w:r w:rsidRPr="00880477">
              <w:rPr>
                <w:rFonts w:ascii="Times New Roman" w:hAnsi="Times New Roman"/>
              </w:rPr>
              <w:t xml:space="preserve">: </w:t>
            </w:r>
            <w:r>
              <w:rPr>
                <w:rFonts w:ascii="Times New Roman" w:hAnsi="Times New Roman"/>
              </w:rPr>
              <w:t xml:space="preserve">Na </w:t>
            </w:r>
            <w:r w:rsidRPr="00880477">
              <w:rPr>
                <w:rFonts w:ascii="Times New Roman" w:hAnsi="Times New Roman"/>
              </w:rPr>
              <w:t xml:space="preserve">década de 90 o governo brasileiro lançou as bases jurídicas e administrativas para a criação de Organizações Sociais. Essas instituições passaram a gerenciar atividades de Saúde, Educação e Cultura por meio de contratos de gestão. </w:t>
            </w:r>
            <w:r>
              <w:rPr>
                <w:rFonts w:ascii="Times New Roman" w:hAnsi="Times New Roman"/>
              </w:rPr>
              <w:t>A</w:t>
            </w:r>
            <w:r w:rsidRPr="00905D68">
              <w:rPr>
                <w:rFonts w:ascii="Times New Roman" w:hAnsi="Times New Roman"/>
              </w:rPr>
              <w:t>s novas cadeias lucrativas atuantes no campo da assistência à saúde modificaram o modo de funcionamento dos hospitais, clínicas, laboratórios, a partir da substituição da equipe gestora por administradores, orientados à produção do lucro para os grupos econômico-financeiros os quais passaram a se associar. As organizações sociais de saúde</w:t>
            </w:r>
            <w:r>
              <w:rPr>
                <w:rFonts w:ascii="Times New Roman" w:hAnsi="Times New Roman"/>
              </w:rPr>
              <w:t xml:space="preserve"> (OSS)</w:t>
            </w:r>
            <w:r w:rsidRPr="00905D68">
              <w:rPr>
                <w:rFonts w:ascii="Times New Roman" w:hAnsi="Times New Roman"/>
              </w:rPr>
              <w:t xml:space="preserve">, algumas associadas a entidades filantrópicas, </w:t>
            </w:r>
            <w:r>
              <w:rPr>
                <w:rFonts w:ascii="Times New Roman" w:hAnsi="Times New Roman"/>
              </w:rPr>
              <w:t xml:space="preserve">são </w:t>
            </w:r>
            <w:r w:rsidRPr="00905D68">
              <w:rPr>
                <w:rFonts w:ascii="Times New Roman" w:hAnsi="Times New Roman"/>
              </w:rPr>
              <w:t>instituições consideradas não lucrativas e ganha</w:t>
            </w:r>
            <w:r>
              <w:rPr>
                <w:rFonts w:ascii="Times New Roman" w:hAnsi="Times New Roman"/>
              </w:rPr>
              <w:t>ra</w:t>
            </w:r>
            <w:r w:rsidRPr="00905D68">
              <w:rPr>
                <w:rFonts w:ascii="Times New Roman" w:hAnsi="Times New Roman"/>
              </w:rPr>
              <w:t xml:space="preserve">m destaque nos grandes contratos de licitação entre os estados para a gestão dos serviços de saúde. </w:t>
            </w:r>
          </w:p>
          <w:p w:rsidR="00541BC5" w:rsidRPr="00880477" w:rsidRDefault="00541BC5" w:rsidP="00A53779">
            <w:pPr>
              <w:jc w:val="both"/>
              <w:rPr>
                <w:rFonts w:ascii="Times New Roman" w:hAnsi="Times New Roman"/>
              </w:rPr>
            </w:pPr>
            <w:r w:rsidRPr="00A17A1B">
              <w:rPr>
                <w:rFonts w:ascii="Times New Roman" w:hAnsi="Times New Roman"/>
                <w:b/>
              </w:rPr>
              <w:t>Objetivo</w:t>
            </w:r>
            <w:r w:rsidRPr="00A17A1B">
              <w:rPr>
                <w:rFonts w:ascii="Times New Roman" w:hAnsi="Times New Roman"/>
              </w:rPr>
              <w:t>:</w:t>
            </w:r>
            <w:r w:rsidRPr="00880477">
              <w:rPr>
                <w:rFonts w:ascii="Times New Roman" w:hAnsi="Times New Roman"/>
              </w:rPr>
              <w:t xml:space="preserve"> </w:t>
            </w:r>
            <w:r>
              <w:rPr>
                <w:rFonts w:ascii="Times New Roman" w:hAnsi="Times New Roman"/>
              </w:rPr>
              <w:t>C</w:t>
            </w:r>
            <w:r w:rsidRPr="000C4670">
              <w:rPr>
                <w:rFonts w:ascii="Times New Roman" w:hAnsi="Times New Roman"/>
              </w:rPr>
              <w:t>aracterizar as relações comerciais entre as</w:t>
            </w:r>
            <w:r>
              <w:rPr>
                <w:rFonts w:ascii="Times New Roman" w:hAnsi="Times New Roman"/>
              </w:rPr>
              <w:t xml:space="preserve"> dez </w:t>
            </w:r>
            <w:r w:rsidRPr="000C4670">
              <w:rPr>
                <w:rFonts w:ascii="Times New Roman" w:hAnsi="Times New Roman"/>
              </w:rPr>
              <w:t>maiores Organizações Sociais de Saúde do Brasil que apresentam contratos com a rede estadual d</w:t>
            </w:r>
            <w:r>
              <w:rPr>
                <w:rFonts w:ascii="Times New Roman" w:hAnsi="Times New Roman"/>
              </w:rPr>
              <w:t>e saúde nos estados brasileiros. D</w:t>
            </w:r>
            <w:r w:rsidRPr="000C4670">
              <w:rPr>
                <w:rFonts w:ascii="Times New Roman" w:hAnsi="Times New Roman"/>
              </w:rPr>
              <w:t>imensiona</w:t>
            </w:r>
            <w:r>
              <w:rPr>
                <w:rFonts w:ascii="Times New Roman" w:hAnsi="Times New Roman"/>
              </w:rPr>
              <w:t>r</w:t>
            </w:r>
            <w:r w:rsidRPr="000C4670">
              <w:rPr>
                <w:rFonts w:ascii="Times New Roman" w:hAnsi="Times New Roman"/>
              </w:rPr>
              <w:t xml:space="preserve"> </w:t>
            </w:r>
            <w:r>
              <w:rPr>
                <w:rFonts w:ascii="Times New Roman" w:hAnsi="Times New Roman"/>
              </w:rPr>
              <w:t xml:space="preserve">as </w:t>
            </w:r>
            <w:r w:rsidRPr="000C4670">
              <w:rPr>
                <w:rFonts w:ascii="Times New Roman" w:hAnsi="Times New Roman"/>
              </w:rPr>
              <w:t>relações</w:t>
            </w:r>
            <w:r>
              <w:rPr>
                <w:rFonts w:ascii="Times New Roman" w:hAnsi="Times New Roman"/>
              </w:rPr>
              <w:t xml:space="preserve"> </w:t>
            </w:r>
            <w:r w:rsidRPr="000C4670">
              <w:rPr>
                <w:rFonts w:ascii="Times New Roman" w:hAnsi="Times New Roman"/>
              </w:rPr>
              <w:t xml:space="preserve">comerciais entre as </w:t>
            </w:r>
            <w:r>
              <w:rPr>
                <w:rFonts w:ascii="Times New Roman" w:hAnsi="Times New Roman"/>
              </w:rPr>
              <w:t>OSS e os seus parceiros e/ou fornecedores.</w:t>
            </w:r>
            <w:r w:rsidRPr="000C4670">
              <w:rPr>
                <w:rFonts w:ascii="Times New Roman" w:hAnsi="Times New Roman"/>
              </w:rPr>
              <w:t xml:space="preserve"> </w:t>
            </w:r>
          </w:p>
          <w:p w:rsidR="00541BC5" w:rsidRPr="00880477" w:rsidRDefault="00541BC5" w:rsidP="00A53779">
            <w:pPr>
              <w:jc w:val="both"/>
              <w:rPr>
                <w:rFonts w:ascii="Times New Roman" w:hAnsi="Times New Roman"/>
              </w:rPr>
            </w:pPr>
            <w:r w:rsidRPr="00A17A1B">
              <w:rPr>
                <w:rFonts w:ascii="Times New Roman" w:hAnsi="Times New Roman"/>
                <w:b/>
              </w:rPr>
              <w:t>Metodologia</w:t>
            </w:r>
            <w:r w:rsidRPr="00A17A1B">
              <w:rPr>
                <w:rFonts w:ascii="Times New Roman" w:hAnsi="Times New Roman"/>
              </w:rPr>
              <w:t>:</w:t>
            </w:r>
            <w:r w:rsidRPr="00880477">
              <w:rPr>
                <w:rFonts w:ascii="Times New Roman" w:hAnsi="Times New Roman"/>
              </w:rPr>
              <w:t xml:space="preserve"> </w:t>
            </w:r>
            <w:r>
              <w:rPr>
                <w:rFonts w:ascii="Times New Roman" w:hAnsi="Times New Roman"/>
              </w:rPr>
              <w:t>E</w:t>
            </w:r>
            <w:r w:rsidRPr="0040602B">
              <w:rPr>
                <w:rFonts w:ascii="Times New Roman" w:hAnsi="Times New Roman"/>
              </w:rPr>
              <w:t>studo exploratório com abordagem qualitativa e análise documental. Foi realizada coleta de dados dentro dos sites das próprias Organizações Sociais de Saúde. A coleta das informações disponíveis se deu através dos itens “parcerias e/ou convênios”, “onde atuamos”, “unidades”</w:t>
            </w:r>
            <w:r>
              <w:rPr>
                <w:rFonts w:ascii="Times New Roman" w:hAnsi="Times New Roman"/>
              </w:rPr>
              <w:t>,</w:t>
            </w:r>
            <w:r w:rsidRPr="0040602B">
              <w:rPr>
                <w:rFonts w:ascii="Times New Roman" w:hAnsi="Times New Roman"/>
              </w:rPr>
              <w:t xml:space="preserve"> link</w:t>
            </w:r>
            <w:r>
              <w:rPr>
                <w:rFonts w:ascii="Times New Roman" w:hAnsi="Times New Roman"/>
              </w:rPr>
              <w:t>s</w:t>
            </w:r>
            <w:r w:rsidRPr="0040602B">
              <w:rPr>
                <w:rFonts w:ascii="Times New Roman" w:hAnsi="Times New Roman"/>
              </w:rPr>
              <w:t xml:space="preserve"> </w:t>
            </w:r>
            <w:r>
              <w:rPr>
                <w:rFonts w:ascii="Times New Roman" w:hAnsi="Times New Roman"/>
              </w:rPr>
              <w:t>de veículos de mídia e</w:t>
            </w:r>
            <w:r w:rsidRPr="0040602B">
              <w:rPr>
                <w:rFonts w:ascii="Times New Roman" w:hAnsi="Times New Roman"/>
              </w:rPr>
              <w:t xml:space="preserve"> sites dos </w:t>
            </w:r>
            <w:r>
              <w:rPr>
                <w:rFonts w:ascii="Times New Roman" w:hAnsi="Times New Roman"/>
              </w:rPr>
              <w:t xml:space="preserve">parceiros de </w:t>
            </w:r>
            <w:r w:rsidRPr="0040602B">
              <w:rPr>
                <w:rFonts w:ascii="Times New Roman" w:hAnsi="Times New Roman"/>
              </w:rPr>
              <w:t xml:space="preserve">serviços onde estão presentes </w:t>
            </w:r>
            <w:r w:rsidRPr="000C4670">
              <w:rPr>
                <w:rFonts w:ascii="Times New Roman" w:hAnsi="Times New Roman"/>
              </w:rPr>
              <w:t>as</w:t>
            </w:r>
            <w:r>
              <w:rPr>
                <w:rFonts w:ascii="Times New Roman" w:hAnsi="Times New Roman"/>
              </w:rPr>
              <w:t xml:space="preserve"> dez</w:t>
            </w:r>
            <w:r w:rsidRPr="000C4670">
              <w:rPr>
                <w:rFonts w:ascii="Times New Roman" w:hAnsi="Times New Roman"/>
              </w:rPr>
              <w:t xml:space="preserve"> maiores </w:t>
            </w:r>
            <w:r>
              <w:rPr>
                <w:rFonts w:ascii="Times New Roman" w:hAnsi="Times New Roman"/>
              </w:rPr>
              <w:t xml:space="preserve">OSS do Brasil. </w:t>
            </w:r>
          </w:p>
          <w:p w:rsidR="00541BC5" w:rsidRPr="00880477" w:rsidRDefault="00541BC5" w:rsidP="00A53779">
            <w:pPr>
              <w:jc w:val="both"/>
              <w:rPr>
                <w:rFonts w:ascii="Times New Roman" w:hAnsi="Times New Roman"/>
              </w:rPr>
            </w:pPr>
            <w:r w:rsidRPr="006D0C99">
              <w:rPr>
                <w:rFonts w:ascii="Times New Roman" w:hAnsi="Times New Roman"/>
                <w:b/>
              </w:rPr>
              <w:t>Resultados:</w:t>
            </w:r>
            <w:r w:rsidRPr="00880477">
              <w:rPr>
                <w:rFonts w:ascii="Times New Roman" w:hAnsi="Times New Roman"/>
              </w:rPr>
              <w:t xml:space="preserve"> </w:t>
            </w:r>
            <w:r>
              <w:rPr>
                <w:rFonts w:ascii="Times New Roman" w:hAnsi="Times New Roman"/>
              </w:rPr>
              <w:t>Das dez OSS estudadas, a</w:t>
            </w:r>
            <w:r w:rsidRPr="00192164">
              <w:rPr>
                <w:rFonts w:ascii="Times New Roman" w:hAnsi="Times New Roman"/>
              </w:rPr>
              <w:t xml:space="preserve"> maioria</w:t>
            </w:r>
            <w:r>
              <w:rPr>
                <w:rFonts w:ascii="Times New Roman" w:hAnsi="Times New Roman"/>
              </w:rPr>
              <w:t xml:space="preserve"> iniciou</w:t>
            </w:r>
            <w:r w:rsidRPr="00192164">
              <w:rPr>
                <w:rFonts w:ascii="Times New Roman" w:hAnsi="Times New Roman"/>
              </w:rPr>
              <w:t xml:space="preserve"> suas atividades no Estado de São Paulo</w:t>
            </w:r>
            <w:r>
              <w:rPr>
                <w:rFonts w:ascii="Times New Roman" w:hAnsi="Times New Roman"/>
              </w:rPr>
              <w:t xml:space="preserve"> -</w:t>
            </w:r>
            <w:r w:rsidRPr="00192164">
              <w:rPr>
                <w:rFonts w:ascii="Times New Roman" w:hAnsi="Times New Roman"/>
              </w:rPr>
              <w:t xml:space="preserve"> maior economia do Brasil. As principais relações comerciais </w:t>
            </w:r>
            <w:r>
              <w:rPr>
                <w:rFonts w:ascii="Times New Roman" w:hAnsi="Times New Roman"/>
              </w:rPr>
              <w:t xml:space="preserve">observadas até o presente momento </w:t>
            </w:r>
            <w:r w:rsidRPr="00192164">
              <w:rPr>
                <w:rFonts w:ascii="Times New Roman" w:hAnsi="Times New Roman"/>
              </w:rPr>
              <w:t>envolvem parcerias com as Secretarias de Estado e Município</w:t>
            </w:r>
            <w:r>
              <w:rPr>
                <w:rFonts w:ascii="Times New Roman" w:hAnsi="Times New Roman"/>
              </w:rPr>
              <w:t>s do país, além de</w:t>
            </w:r>
            <w:r w:rsidRPr="00192164">
              <w:rPr>
                <w:rFonts w:ascii="Times New Roman" w:hAnsi="Times New Roman"/>
              </w:rPr>
              <w:t xml:space="preserve"> empresas privadas de diversos setores</w:t>
            </w:r>
            <w:r>
              <w:rPr>
                <w:rFonts w:ascii="Times New Roman" w:hAnsi="Times New Roman"/>
              </w:rPr>
              <w:t xml:space="preserve"> da economia:</w:t>
            </w:r>
            <w:r w:rsidRPr="00192164">
              <w:rPr>
                <w:rFonts w:ascii="Times New Roman" w:hAnsi="Times New Roman"/>
              </w:rPr>
              <w:t xml:space="preserve"> </w:t>
            </w:r>
            <w:r>
              <w:rPr>
                <w:rFonts w:ascii="Times New Roman" w:hAnsi="Times New Roman"/>
              </w:rPr>
              <w:t>seguros,</w:t>
            </w:r>
            <w:r w:rsidRPr="00192164">
              <w:rPr>
                <w:rFonts w:ascii="Times New Roman" w:hAnsi="Times New Roman"/>
              </w:rPr>
              <w:t xml:space="preserve"> laboratórios</w:t>
            </w:r>
            <w:r>
              <w:rPr>
                <w:rFonts w:ascii="Times New Roman" w:hAnsi="Times New Roman"/>
              </w:rPr>
              <w:t>,</w:t>
            </w:r>
            <w:r w:rsidRPr="00192164">
              <w:rPr>
                <w:rFonts w:ascii="Times New Roman" w:hAnsi="Times New Roman"/>
              </w:rPr>
              <w:t xml:space="preserve"> indústrias farmacêuticas</w:t>
            </w:r>
            <w:r>
              <w:rPr>
                <w:rFonts w:ascii="Times New Roman" w:hAnsi="Times New Roman"/>
              </w:rPr>
              <w:t>, faculdades</w:t>
            </w:r>
            <w:r w:rsidRPr="00192164">
              <w:rPr>
                <w:rFonts w:ascii="Times New Roman" w:hAnsi="Times New Roman"/>
              </w:rPr>
              <w:t xml:space="preserve"> </w:t>
            </w:r>
            <w:r>
              <w:rPr>
                <w:rFonts w:ascii="Times New Roman" w:hAnsi="Times New Roman"/>
              </w:rPr>
              <w:t xml:space="preserve">privadas </w:t>
            </w:r>
            <w:r w:rsidRPr="00192164">
              <w:rPr>
                <w:rFonts w:ascii="Times New Roman" w:hAnsi="Times New Roman"/>
              </w:rPr>
              <w:t xml:space="preserve">e instituições filantrópicas. </w:t>
            </w:r>
            <w:r>
              <w:rPr>
                <w:rFonts w:ascii="Times New Roman" w:hAnsi="Times New Roman"/>
              </w:rPr>
              <w:t>A maior parte das OSS estudadas apresenta</w:t>
            </w:r>
            <w:r w:rsidRPr="00192164">
              <w:rPr>
                <w:rFonts w:ascii="Times New Roman" w:hAnsi="Times New Roman"/>
              </w:rPr>
              <w:t xml:space="preserve"> qualificação para atuarem tanto na saúde</w:t>
            </w:r>
            <w:r>
              <w:rPr>
                <w:rFonts w:ascii="Times New Roman" w:hAnsi="Times New Roman"/>
              </w:rPr>
              <w:t>,</w:t>
            </w:r>
            <w:r w:rsidRPr="00192164">
              <w:rPr>
                <w:rFonts w:ascii="Times New Roman" w:hAnsi="Times New Roman"/>
              </w:rPr>
              <w:t xml:space="preserve"> educação e</w:t>
            </w:r>
            <w:r>
              <w:rPr>
                <w:rFonts w:ascii="Times New Roman" w:hAnsi="Times New Roman"/>
              </w:rPr>
              <w:t xml:space="preserve"> </w:t>
            </w:r>
            <w:r w:rsidRPr="00192164">
              <w:rPr>
                <w:rFonts w:ascii="Times New Roman" w:hAnsi="Times New Roman"/>
              </w:rPr>
              <w:t>assistência social</w:t>
            </w:r>
            <w:r>
              <w:rPr>
                <w:rFonts w:ascii="Times New Roman" w:hAnsi="Times New Roman"/>
              </w:rPr>
              <w:t>.</w:t>
            </w:r>
          </w:p>
          <w:p w:rsidR="00541BC5" w:rsidRDefault="00541BC5" w:rsidP="00A53779">
            <w:pPr>
              <w:jc w:val="both"/>
              <w:rPr>
                <w:rFonts w:ascii="Times New Roman" w:hAnsi="Times New Roman"/>
              </w:rPr>
            </w:pPr>
            <w:r w:rsidRPr="0011134C">
              <w:rPr>
                <w:rFonts w:ascii="Times New Roman" w:hAnsi="Times New Roman"/>
                <w:b/>
              </w:rPr>
              <w:t>Conclusões</w:t>
            </w:r>
            <w:r w:rsidRPr="0011134C">
              <w:rPr>
                <w:rFonts w:ascii="Times New Roman" w:hAnsi="Times New Roman"/>
              </w:rPr>
              <w:t>:</w:t>
            </w:r>
            <w:r w:rsidRPr="00880477">
              <w:rPr>
                <w:rFonts w:ascii="Times New Roman" w:hAnsi="Times New Roman"/>
              </w:rPr>
              <w:t xml:space="preserve"> </w:t>
            </w:r>
            <w:r>
              <w:rPr>
                <w:rFonts w:ascii="Times New Roman" w:hAnsi="Times New Roman"/>
              </w:rPr>
              <w:t>É possível apontar</w:t>
            </w:r>
            <w:r w:rsidRPr="00112F18">
              <w:rPr>
                <w:rFonts w:ascii="Times New Roman" w:hAnsi="Times New Roman"/>
              </w:rPr>
              <w:t xml:space="preserve"> que existe a formação das redes comer</w:t>
            </w:r>
            <w:r>
              <w:rPr>
                <w:rFonts w:ascii="Times New Roman" w:hAnsi="Times New Roman"/>
              </w:rPr>
              <w:t>ciais microeconômicas ou r</w:t>
            </w:r>
            <w:r w:rsidRPr="00112F18">
              <w:rPr>
                <w:rFonts w:ascii="Times New Roman" w:hAnsi="Times New Roman"/>
              </w:rPr>
              <w:t>egionais</w:t>
            </w:r>
            <w:r>
              <w:rPr>
                <w:rFonts w:ascii="Times New Roman" w:hAnsi="Times New Roman"/>
              </w:rPr>
              <w:t>, formadas pelo comercio local onde a OSS atua. E redes microeconômicas</w:t>
            </w:r>
            <w:proofErr w:type="gramStart"/>
            <w:r>
              <w:rPr>
                <w:rFonts w:ascii="Times New Roman" w:hAnsi="Times New Roman"/>
              </w:rPr>
              <w:t xml:space="preserve">  </w:t>
            </w:r>
            <w:proofErr w:type="gramEnd"/>
            <w:r>
              <w:rPr>
                <w:rFonts w:ascii="Times New Roman" w:hAnsi="Times New Roman"/>
              </w:rPr>
              <w:t xml:space="preserve">filiais das empresas de grande porte, </w:t>
            </w:r>
            <w:r w:rsidRPr="00112F18">
              <w:rPr>
                <w:rFonts w:ascii="Times New Roman" w:hAnsi="Times New Roman"/>
              </w:rPr>
              <w:t xml:space="preserve">localizada nos grandes centros financeiros. </w:t>
            </w:r>
            <w:r w:rsidRPr="003215CC">
              <w:rPr>
                <w:rFonts w:ascii="Times New Roman" w:hAnsi="Times New Roman"/>
              </w:rPr>
              <w:t>Isso permitirá compreender o processo de dimensionamento das relações comerciais dessas OSS, de modo a caracterizar a magnitude e sua distribuição no território brasileiro</w:t>
            </w:r>
            <w:r>
              <w:rPr>
                <w:rFonts w:ascii="Times New Roman" w:hAnsi="Times New Roman"/>
              </w:rPr>
              <w:t>.</w:t>
            </w:r>
          </w:p>
          <w:p w:rsidR="00541BC5" w:rsidRPr="00EB2D7E" w:rsidRDefault="00541BC5" w:rsidP="00A53779">
            <w:pPr>
              <w:jc w:val="both"/>
              <w:rPr>
                <w:rFonts w:ascii="Times New Roman" w:hAnsi="Times New Roman"/>
                <w:color w:val="000000"/>
                <w:lang w:eastAsia="es-CO"/>
              </w:rPr>
            </w:pPr>
          </w:p>
        </w:tc>
      </w:tr>
      <w:tr w:rsidR="00541BC5" w:rsidRPr="00EB2D7E" w:rsidTr="0061268B">
        <w:trPr>
          <w:trHeight w:val="300"/>
        </w:trPr>
        <w:tc>
          <w:tcPr>
            <w:tcW w:w="2711" w:type="pct"/>
            <w:gridSpan w:val="2"/>
            <w:tcBorders>
              <w:top w:val="nil"/>
              <w:left w:val="single" w:sz="4" w:space="0" w:color="auto"/>
              <w:bottom w:val="single" w:sz="4" w:space="0" w:color="auto"/>
              <w:right w:val="single" w:sz="4" w:space="0" w:color="auto"/>
            </w:tcBorders>
            <w:shd w:val="clear" w:color="000000" w:fill="FFFFFF"/>
            <w:vAlign w:val="center"/>
            <w:hideMark/>
          </w:tcPr>
          <w:p w:rsidR="00541BC5" w:rsidRPr="00A53779" w:rsidRDefault="00541BC5" w:rsidP="00A53779">
            <w:pPr>
              <w:jc w:val="center"/>
              <w:rPr>
                <w:rFonts w:ascii="Times New Roman" w:hAnsi="Times New Roman"/>
                <w:b/>
                <w:color w:val="000000"/>
                <w:lang w:eastAsia="es-CO"/>
              </w:rPr>
            </w:pPr>
            <w:r w:rsidRPr="00A53779">
              <w:rPr>
                <w:rFonts w:ascii="Times New Roman" w:hAnsi="Times New Roman"/>
                <w:b/>
                <w:color w:val="000000"/>
                <w:lang w:eastAsia="es-CO"/>
              </w:rPr>
              <w:t>Instituição financiadora da pesquisa e declaração de conflito de interesse (se aplicável)</w:t>
            </w:r>
          </w:p>
        </w:tc>
        <w:tc>
          <w:tcPr>
            <w:tcW w:w="2289" w:type="pct"/>
            <w:tcBorders>
              <w:top w:val="single" w:sz="4" w:space="0" w:color="auto"/>
              <w:left w:val="nil"/>
              <w:bottom w:val="single" w:sz="4" w:space="0" w:color="auto"/>
              <w:right w:val="single" w:sz="4" w:space="0" w:color="auto"/>
            </w:tcBorders>
            <w:shd w:val="clear" w:color="000000" w:fill="FFFFFF"/>
            <w:vAlign w:val="center"/>
            <w:hideMark/>
          </w:tcPr>
          <w:p w:rsidR="00541BC5" w:rsidRPr="00EB2D7E" w:rsidRDefault="00541BC5" w:rsidP="00A53779">
            <w:pPr>
              <w:rPr>
                <w:rFonts w:ascii="Times New Roman" w:hAnsi="Times New Roman"/>
                <w:color w:val="000000"/>
                <w:lang w:eastAsia="es-CO"/>
              </w:rPr>
            </w:pPr>
            <w:r w:rsidRPr="00EB2D7E">
              <w:rPr>
                <w:rFonts w:ascii="Times New Roman" w:hAnsi="Times New Roman"/>
                <w:color w:val="000000"/>
                <w:lang w:eastAsia="es-CO"/>
              </w:rPr>
              <w:t> </w:t>
            </w:r>
          </w:p>
          <w:p w:rsidR="00541BC5" w:rsidRPr="00EB2D7E" w:rsidRDefault="00541BC5" w:rsidP="00A53779">
            <w:pPr>
              <w:rPr>
                <w:rFonts w:ascii="Times New Roman" w:hAnsi="Times New Roman"/>
                <w:color w:val="000000"/>
                <w:lang w:eastAsia="es-CO"/>
              </w:rPr>
            </w:pPr>
            <w:r>
              <w:rPr>
                <w:rFonts w:ascii="Times New Roman" w:hAnsi="Times New Roman"/>
                <w:color w:val="000000"/>
                <w:lang w:eastAsia="es-CO"/>
              </w:rPr>
              <w:t>Coordenação de Aperfeiçoamento de Pessoal de Nível Superior (Capes)</w:t>
            </w:r>
          </w:p>
          <w:p w:rsidR="00541BC5" w:rsidRPr="00EB2D7E" w:rsidRDefault="00541BC5" w:rsidP="00A53779">
            <w:pPr>
              <w:rPr>
                <w:rFonts w:ascii="Times New Roman" w:hAnsi="Times New Roman"/>
                <w:b/>
                <w:color w:val="000000"/>
                <w:lang w:eastAsia="es-CO"/>
              </w:rPr>
            </w:pPr>
          </w:p>
        </w:tc>
      </w:tr>
    </w:tbl>
    <w:p w:rsidR="0078281C" w:rsidRPr="00D85CF9" w:rsidRDefault="0078281C" w:rsidP="0061268B">
      <w:pPr>
        <w:pStyle w:val="BNDES"/>
        <w:rPr>
          <w:rFonts w:ascii="Arial" w:hAnsi="Arial" w:cs="Arial"/>
        </w:rPr>
      </w:pPr>
    </w:p>
    <w:sectPr w:rsidR="0078281C" w:rsidRPr="00D85CF9" w:rsidSect="0061268B">
      <w:headerReference w:type="default" r:id="rId7"/>
      <w:pgSz w:w="11907" w:h="16840" w:code="9"/>
      <w:pgMar w:top="1701" w:right="1418" w:bottom="1418" w:left="1418" w:header="709" w:footer="709" w:gutter="0"/>
      <w:cols w:space="708"/>
      <w:docGrid w:linePitch="360"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C5" w:rsidRDefault="00541BC5" w:rsidP="00541BC5">
      <w:r>
        <w:separator/>
      </w:r>
    </w:p>
  </w:endnote>
  <w:endnote w:type="continuationSeparator" w:id="0">
    <w:p w:rsidR="00541BC5" w:rsidRDefault="00541BC5" w:rsidP="0054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ptimum">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C5" w:rsidRDefault="00541BC5" w:rsidP="00541BC5">
      <w:r>
        <w:separator/>
      </w:r>
    </w:p>
  </w:footnote>
  <w:footnote w:type="continuationSeparator" w:id="0">
    <w:p w:rsidR="00541BC5" w:rsidRDefault="00541BC5" w:rsidP="00541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FC" w:rsidRDefault="0061268B">
    <w:pPr>
      <w:pStyle w:val="Corpodetexto"/>
      <w:spacing w:line="14" w:lineRule="auto"/>
      <w:rPr>
        <w:sz w:val="20"/>
      </w:rPr>
    </w:pPr>
    <w:r>
      <w:pict>
        <v:group id="_x0000_s2049" style="position:absolute;margin-left:79.45pt;margin-top:31.65pt;width:436.65pt;height:50.5pt;z-index:-251657216;mso-position-horizontal-relative:page;mso-position-vertical-relative:page" coordorigin="1589,708" coordsize="8733,1266">
          <v:line id="_x0000_s2050" style="position:absolute" from="1599,713" to="3564,713" strokeweight=".48pt"/>
          <v:line id="_x0000_s2051" style="position:absolute" from="3574,713" to="10312,713" strokeweight=".48pt"/>
          <v:line id="_x0000_s2052" style="position:absolute" from="1594,708" to="1594,1973" strokeweight=".48pt"/>
          <v:line id="_x0000_s2053" style="position:absolute" from="1599,1968" to="3564,1968" strokeweight=".48pt"/>
          <v:line id="_x0000_s2054" style="position:absolute" from="3569,708" to="3569,1973" strokeweight=".48pt"/>
          <v:line id="_x0000_s2055" style="position:absolute" from="3574,1968" to="10312,1968" strokeweight=".48pt"/>
          <v:line id="_x0000_s2056" style="position:absolute" from="10317,708" to="10317,1973"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1738;top:934;width:1632;height:688">
            <v:imagedata r:id="rId1" o:title=""/>
          </v:shape>
          <w10:wrap anchorx="page" anchory="page"/>
        </v:group>
      </w:pict>
    </w:r>
    <w:r>
      <w:pict>
        <v:shapetype id="_x0000_t202" coordsize="21600,21600" o:spt="202" path="m,l,21600r21600,l21600,xe">
          <v:stroke joinstyle="miter"/>
          <v:path gradientshapeok="t" o:connecttype="rect"/>
        </v:shapetype>
        <v:shape id="_x0000_s2058" type="#_x0000_t202" style="position:absolute;margin-left:189.95pt;margin-top:37.3pt;width:314.3pt;height:59.5pt;z-index:-251656192;mso-position-horizontal-relative:page;mso-position-vertical-relative:page" filled="f" stroked="f">
          <v:textbox inset="0,0,0,0">
            <w:txbxContent>
              <w:p w:rsidR="00405BFC" w:rsidRDefault="0061268B" w:rsidP="0061268B">
                <w:pPr>
                  <w:ind w:left="20" w:right="17"/>
                  <w:jc w:val="center"/>
                  <w:rPr>
                    <w:rFonts w:ascii="Arial" w:hAnsi="Arial"/>
                    <w:b/>
                  </w:rPr>
                </w:pPr>
                <w:r>
                  <w:rPr>
                    <w:rFonts w:ascii="Arial" w:hAnsi="Arial"/>
                    <w:b/>
                  </w:rPr>
                  <w:t>XIII ENCONTRO NACIONAL DE ECONOMIA DA SAÚDE 30 E 31 DE AGOSTO DE 2018</w:t>
                </w:r>
              </w:p>
              <w:p w:rsidR="00405BFC" w:rsidRDefault="0061268B" w:rsidP="0061268B">
                <w:pPr>
                  <w:ind w:left="17" w:right="17"/>
                  <w:jc w:val="center"/>
                  <w:rPr>
                    <w:rFonts w:ascii="Arial" w:hAnsi="Arial"/>
                    <w:b/>
                  </w:rPr>
                </w:pPr>
                <w:r>
                  <w:rPr>
                    <w:rFonts w:ascii="Arial" w:hAnsi="Arial"/>
                    <w:b/>
                  </w:rPr>
                  <w:t>LOCAL: FIOCRUZ – BRASÍLIA, DF</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NDES"/>
  <w:drawingGridHorizontalSpacing w:val="0"/>
  <w:displayHorizontalDrawingGridEvery w:val="2"/>
  <w:displayVerticalDrawingGridEvery w:val="2"/>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C5"/>
    <w:rsid w:val="0043400B"/>
    <w:rsid w:val="00541BC5"/>
    <w:rsid w:val="0061268B"/>
    <w:rsid w:val="0078281C"/>
    <w:rsid w:val="00D85CF9"/>
    <w:rsid w:val="00EC66D2"/>
    <w:rsid w:val="00ED182E"/>
    <w:rsid w:val="00F917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Optimum" w:hAnsi="Optimum"/>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NDES">
    <w:name w:val="BNDES"/>
    <w:basedOn w:val="Normal"/>
    <w:rsid w:val="0043400B"/>
    <w:pPr>
      <w:jc w:val="both"/>
    </w:pPr>
  </w:style>
  <w:style w:type="paragraph" w:styleId="Corpodetexto">
    <w:name w:val="Body Text"/>
    <w:basedOn w:val="Normal"/>
    <w:link w:val="CorpodetextoChar"/>
    <w:uiPriority w:val="1"/>
    <w:qFormat/>
    <w:rsid w:val="00541BC5"/>
    <w:pPr>
      <w:widowControl w:val="0"/>
      <w:autoSpaceDE w:val="0"/>
      <w:autoSpaceDN w:val="0"/>
    </w:pPr>
    <w:rPr>
      <w:rFonts w:ascii="Arial Black" w:eastAsia="Arial Black" w:hAnsi="Arial Black" w:cs="Arial Black"/>
      <w:lang w:bidi="pt-BR"/>
    </w:rPr>
  </w:style>
  <w:style w:type="character" w:customStyle="1" w:styleId="CorpodetextoChar">
    <w:name w:val="Corpo de texto Char"/>
    <w:basedOn w:val="Fontepargpadro"/>
    <w:link w:val="Corpodetexto"/>
    <w:uiPriority w:val="1"/>
    <w:rsid w:val="00541BC5"/>
    <w:rPr>
      <w:rFonts w:ascii="Arial Black" w:eastAsia="Arial Black" w:hAnsi="Arial Black" w:cs="Arial Black"/>
      <w:sz w:val="24"/>
      <w:szCs w:val="24"/>
      <w:lang w:bidi="pt-BR"/>
    </w:rPr>
  </w:style>
  <w:style w:type="paragraph" w:customStyle="1" w:styleId="TableParagraph">
    <w:name w:val="Table Paragraph"/>
    <w:basedOn w:val="Normal"/>
    <w:uiPriority w:val="1"/>
    <w:qFormat/>
    <w:rsid w:val="00541BC5"/>
    <w:pPr>
      <w:widowControl w:val="0"/>
      <w:autoSpaceDE w:val="0"/>
      <w:autoSpaceDN w:val="0"/>
    </w:pPr>
    <w:rPr>
      <w:rFonts w:ascii="Times New Roman" w:hAnsi="Times New Roman"/>
      <w:sz w:val="22"/>
      <w:szCs w:val="22"/>
      <w:lang w:bidi="pt-BR"/>
    </w:rPr>
  </w:style>
  <w:style w:type="character" w:styleId="Forte">
    <w:name w:val="Strong"/>
    <w:basedOn w:val="Fontepargpadro"/>
    <w:uiPriority w:val="99"/>
    <w:qFormat/>
    <w:rsid w:val="00541BC5"/>
    <w:rPr>
      <w:b/>
      <w:bCs/>
    </w:rPr>
  </w:style>
  <w:style w:type="paragraph" w:styleId="Cabealho">
    <w:name w:val="header"/>
    <w:basedOn w:val="Normal"/>
    <w:link w:val="CabealhoChar"/>
    <w:uiPriority w:val="99"/>
    <w:unhideWhenUsed/>
    <w:rsid w:val="00541BC5"/>
    <w:pPr>
      <w:tabs>
        <w:tab w:val="center" w:pos="4252"/>
        <w:tab w:val="right" w:pos="8504"/>
      </w:tabs>
    </w:pPr>
  </w:style>
  <w:style w:type="character" w:customStyle="1" w:styleId="CabealhoChar">
    <w:name w:val="Cabeçalho Char"/>
    <w:basedOn w:val="Fontepargpadro"/>
    <w:link w:val="Cabealho"/>
    <w:uiPriority w:val="99"/>
    <w:rsid w:val="00541BC5"/>
    <w:rPr>
      <w:rFonts w:ascii="Optimum" w:hAnsi="Optimum"/>
      <w:sz w:val="24"/>
      <w:szCs w:val="24"/>
    </w:rPr>
  </w:style>
  <w:style w:type="paragraph" w:styleId="Rodap">
    <w:name w:val="footer"/>
    <w:basedOn w:val="Normal"/>
    <w:link w:val="RodapChar"/>
    <w:uiPriority w:val="99"/>
    <w:unhideWhenUsed/>
    <w:rsid w:val="00541BC5"/>
    <w:pPr>
      <w:tabs>
        <w:tab w:val="center" w:pos="4252"/>
        <w:tab w:val="right" w:pos="8504"/>
      </w:tabs>
    </w:pPr>
  </w:style>
  <w:style w:type="character" w:customStyle="1" w:styleId="RodapChar">
    <w:name w:val="Rodapé Char"/>
    <w:basedOn w:val="Fontepargpadro"/>
    <w:link w:val="Rodap"/>
    <w:uiPriority w:val="99"/>
    <w:rsid w:val="00541BC5"/>
    <w:rPr>
      <w:rFonts w:ascii="Optimum" w:hAnsi="Optimu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Optimum" w:hAnsi="Optimum"/>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NDES">
    <w:name w:val="BNDES"/>
    <w:basedOn w:val="Normal"/>
    <w:rsid w:val="0043400B"/>
    <w:pPr>
      <w:jc w:val="both"/>
    </w:pPr>
  </w:style>
  <w:style w:type="paragraph" w:styleId="Corpodetexto">
    <w:name w:val="Body Text"/>
    <w:basedOn w:val="Normal"/>
    <w:link w:val="CorpodetextoChar"/>
    <w:uiPriority w:val="1"/>
    <w:qFormat/>
    <w:rsid w:val="00541BC5"/>
    <w:pPr>
      <w:widowControl w:val="0"/>
      <w:autoSpaceDE w:val="0"/>
      <w:autoSpaceDN w:val="0"/>
    </w:pPr>
    <w:rPr>
      <w:rFonts w:ascii="Arial Black" w:eastAsia="Arial Black" w:hAnsi="Arial Black" w:cs="Arial Black"/>
      <w:lang w:bidi="pt-BR"/>
    </w:rPr>
  </w:style>
  <w:style w:type="character" w:customStyle="1" w:styleId="CorpodetextoChar">
    <w:name w:val="Corpo de texto Char"/>
    <w:basedOn w:val="Fontepargpadro"/>
    <w:link w:val="Corpodetexto"/>
    <w:uiPriority w:val="1"/>
    <w:rsid w:val="00541BC5"/>
    <w:rPr>
      <w:rFonts w:ascii="Arial Black" w:eastAsia="Arial Black" w:hAnsi="Arial Black" w:cs="Arial Black"/>
      <w:sz w:val="24"/>
      <w:szCs w:val="24"/>
      <w:lang w:bidi="pt-BR"/>
    </w:rPr>
  </w:style>
  <w:style w:type="paragraph" w:customStyle="1" w:styleId="TableParagraph">
    <w:name w:val="Table Paragraph"/>
    <w:basedOn w:val="Normal"/>
    <w:uiPriority w:val="1"/>
    <w:qFormat/>
    <w:rsid w:val="00541BC5"/>
    <w:pPr>
      <w:widowControl w:val="0"/>
      <w:autoSpaceDE w:val="0"/>
      <w:autoSpaceDN w:val="0"/>
    </w:pPr>
    <w:rPr>
      <w:rFonts w:ascii="Times New Roman" w:hAnsi="Times New Roman"/>
      <w:sz w:val="22"/>
      <w:szCs w:val="22"/>
      <w:lang w:bidi="pt-BR"/>
    </w:rPr>
  </w:style>
  <w:style w:type="character" w:styleId="Forte">
    <w:name w:val="Strong"/>
    <w:basedOn w:val="Fontepargpadro"/>
    <w:uiPriority w:val="99"/>
    <w:qFormat/>
    <w:rsid w:val="00541BC5"/>
    <w:rPr>
      <w:b/>
      <w:bCs/>
    </w:rPr>
  </w:style>
  <w:style w:type="paragraph" w:styleId="Cabealho">
    <w:name w:val="header"/>
    <w:basedOn w:val="Normal"/>
    <w:link w:val="CabealhoChar"/>
    <w:uiPriority w:val="99"/>
    <w:unhideWhenUsed/>
    <w:rsid w:val="00541BC5"/>
    <w:pPr>
      <w:tabs>
        <w:tab w:val="center" w:pos="4252"/>
        <w:tab w:val="right" w:pos="8504"/>
      </w:tabs>
    </w:pPr>
  </w:style>
  <w:style w:type="character" w:customStyle="1" w:styleId="CabealhoChar">
    <w:name w:val="Cabeçalho Char"/>
    <w:basedOn w:val="Fontepargpadro"/>
    <w:link w:val="Cabealho"/>
    <w:uiPriority w:val="99"/>
    <w:rsid w:val="00541BC5"/>
    <w:rPr>
      <w:rFonts w:ascii="Optimum" w:hAnsi="Optimum"/>
      <w:sz w:val="24"/>
      <w:szCs w:val="24"/>
    </w:rPr>
  </w:style>
  <w:style w:type="paragraph" w:styleId="Rodap">
    <w:name w:val="footer"/>
    <w:basedOn w:val="Normal"/>
    <w:link w:val="RodapChar"/>
    <w:uiPriority w:val="99"/>
    <w:unhideWhenUsed/>
    <w:rsid w:val="00541BC5"/>
    <w:pPr>
      <w:tabs>
        <w:tab w:val="center" w:pos="4252"/>
        <w:tab w:val="right" w:pos="8504"/>
      </w:tabs>
    </w:pPr>
  </w:style>
  <w:style w:type="character" w:customStyle="1" w:styleId="RodapChar">
    <w:name w:val="Rodapé Char"/>
    <w:basedOn w:val="Fontepargpadro"/>
    <w:link w:val="Rodap"/>
    <w:uiPriority w:val="99"/>
    <w:rsid w:val="00541BC5"/>
    <w:rPr>
      <w:rFonts w:ascii="Optimum" w:hAnsi="Optim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1612</Words>
  <Characters>9289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BNDES</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Mendes Leal de Souza</dc:creator>
  <cp:lastModifiedBy>Rodrigo Mendes Leal de Souza</cp:lastModifiedBy>
  <cp:revision>2</cp:revision>
  <dcterms:created xsi:type="dcterms:W3CDTF">2018-08-29T11:48:00Z</dcterms:created>
  <dcterms:modified xsi:type="dcterms:W3CDTF">2018-08-29T12:10:00Z</dcterms:modified>
</cp:coreProperties>
</file>